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4FA" w:rsidRPr="00D87CDF" w:rsidRDefault="00FF34FA" w:rsidP="00FF34FA">
      <w:pPr>
        <w:jc w:val="center"/>
        <w:rPr>
          <w:rFonts w:ascii="Calibri" w:hAnsi="Calibri" w:cs="Calibri"/>
          <w:b/>
          <w:sz w:val="36"/>
          <w:szCs w:val="36"/>
        </w:rPr>
      </w:pPr>
      <w:r w:rsidRPr="00D87CDF">
        <w:rPr>
          <w:rFonts w:ascii="Calibri" w:hAnsi="Calibri" w:cs="Calibri"/>
          <w:b/>
          <w:sz w:val="36"/>
          <w:szCs w:val="36"/>
        </w:rPr>
        <w:t xml:space="preserve">OBRAZLOŽENJE  FINANCIJSKOG PLANA  </w:t>
      </w:r>
      <w:r>
        <w:rPr>
          <w:rFonts w:ascii="Calibri" w:hAnsi="Calibri" w:cs="Calibri"/>
          <w:b/>
          <w:sz w:val="36"/>
          <w:szCs w:val="36"/>
        </w:rPr>
        <w:t>ZA 2024. GODINU TE PROJEKCIJA ZA 2025. I 2026</w:t>
      </w:r>
      <w:r w:rsidRPr="00D87CDF">
        <w:rPr>
          <w:rFonts w:ascii="Calibri" w:hAnsi="Calibri" w:cs="Calibri"/>
          <w:b/>
          <w:sz w:val="36"/>
          <w:szCs w:val="36"/>
        </w:rPr>
        <w:t>. GODINU</w:t>
      </w:r>
    </w:p>
    <w:p w:rsidR="00FF34FA" w:rsidRPr="00D87CDF" w:rsidRDefault="00FF34FA" w:rsidP="00FF34FA">
      <w:pPr>
        <w:jc w:val="center"/>
        <w:rPr>
          <w:rFonts w:ascii="Calibri" w:hAnsi="Calibri" w:cs="Calibri"/>
          <w:sz w:val="40"/>
          <w:szCs w:val="40"/>
        </w:rPr>
      </w:pPr>
    </w:p>
    <w:p w:rsidR="00FF34FA" w:rsidRPr="00D87CDF" w:rsidRDefault="00FF34FA" w:rsidP="00FF34FA">
      <w:pPr>
        <w:rPr>
          <w:rFonts w:ascii="Calibri" w:hAnsi="Calibri" w:cs="Calibri"/>
          <w:sz w:val="40"/>
          <w:szCs w:val="40"/>
        </w:rPr>
      </w:pPr>
    </w:p>
    <w:p w:rsidR="00FF34FA" w:rsidRPr="00D87CDF" w:rsidRDefault="00FF34FA" w:rsidP="00FF34FA">
      <w:pPr>
        <w:numPr>
          <w:ilvl w:val="0"/>
          <w:numId w:val="3"/>
        </w:numPr>
        <w:rPr>
          <w:rFonts w:ascii="Calibri" w:hAnsi="Calibri" w:cs="Calibri"/>
          <w:b/>
        </w:rPr>
      </w:pPr>
      <w:r w:rsidRPr="00D87CDF">
        <w:rPr>
          <w:rFonts w:ascii="Calibri" w:hAnsi="Calibri" w:cs="Calibri"/>
          <w:b/>
        </w:rPr>
        <w:t xml:space="preserve">SAŽETAK DJELOKRUGA RADA PRORAČUNSKOG KORISNIKA </w:t>
      </w:r>
    </w:p>
    <w:p w:rsidR="00FF34FA" w:rsidRDefault="00FF34FA" w:rsidP="00FF34FA">
      <w:pPr>
        <w:rPr>
          <w:rFonts w:ascii="Calibri" w:hAnsi="Calibri" w:cs="Calibri"/>
          <w:b/>
        </w:rPr>
      </w:pPr>
    </w:p>
    <w:p w:rsidR="00FF34FA" w:rsidRDefault="00FF34FA" w:rsidP="00FF34FA">
      <w:pPr>
        <w:rPr>
          <w:rFonts w:ascii="Calibri" w:hAnsi="Calibri" w:cs="Calibri"/>
          <w:b/>
        </w:rPr>
      </w:pPr>
    </w:p>
    <w:p w:rsidR="00FF34FA" w:rsidRPr="00FF34FA" w:rsidRDefault="00FF34FA" w:rsidP="00FF34F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FF34FA" w:rsidRPr="00FF34FA" w:rsidRDefault="00FF34FA" w:rsidP="00FF34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FF34FA">
        <w:rPr>
          <w:rFonts w:asciiTheme="minorHAnsi" w:eastAsiaTheme="minorHAnsi" w:hAnsiTheme="minorHAnsi" w:cstheme="minorHAnsi"/>
          <w:lang w:eastAsia="en-US"/>
        </w:rPr>
        <w:t>Centar za autizam Split obavlja javnu djelatnost sukladno Zakonu o odgoju i</w:t>
      </w:r>
    </w:p>
    <w:p w:rsidR="00FF34FA" w:rsidRPr="00FF34FA" w:rsidRDefault="00FF34FA" w:rsidP="00FF34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FF34FA">
        <w:rPr>
          <w:rFonts w:asciiTheme="minorHAnsi" w:eastAsiaTheme="minorHAnsi" w:hAnsiTheme="minorHAnsi" w:cstheme="minorHAnsi"/>
          <w:lang w:eastAsia="en-US"/>
        </w:rPr>
        <w:t>obrazovanju u osnovnoj i srednjoj školi. U školi se izvodi program prilagođen djeci sa posebnim potrebama i izvannastavne aktivnosti sukladno Nastavnom planu i programu,</w:t>
      </w:r>
    </w:p>
    <w:p w:rsidR="00FF34FA" w:rsidRPr="00FF34FA" w:rsidRDefault="00FF34FA" w:rsidP="00FF34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FF34FA">
        <w:rPr>
          <w:rFonts w:asciiTheme="minorHAnsi" w:eastAsiaTheme="minorHAnsi" w:hAnsiTheme="minorHAnsi" w:cstheme="minorHAnsi"/>
          <w:lang w:eastAsia="en-US"/>
        </w:rPr>
        <w:t>Godišnjem planu i programu rada Centra, te Školskom kurikulumu za školsku godinu</w:t>
      </w:r>
    </w:p>
    <w:p w:rsidR="00FF34FA" w:rsidRPr="00FF34FA" w:rsidRDefault="00FF34FA" w:rsidP="00FF34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C1642E">
        <w:rPr>
          <w:rFonts w:asciiTheme="minorHAnsi" w:eastAsiaTheme="minorHAnsi" w:hAnsiTheme="minorHAnsi" w:cstheme="minorHAnsi"/>
          <w:lang w:eastAsia="en-US"/>
        </w:rPr>
        <w:t>2023./2024.</w:t>
      </w:r>
      <w:r w:rsidRPr="00FF34FA">
        <w:rPr>
          <w:rFonts w:asciiTheme="minorHAnsi" w:eastAsiaTheme="minorHAnsi" w:hAnsiTheme="minorHAnsi" w:cstheme="minorHAnsi"/>
          <w:lang w:eastAsia="en-US"/>
        </w:rPr>
        <w:t xml:space="preserve"> i Školskom kurikulumu za školsku godinu 2023/2024.</w:t>
      </w:r>
    </w:p>
    <w:p w:rsidR="00FF34FA" w:rsidRPr="00FF34FA" w:rsidRDefault="00FF34FA" w:rsidP="00FF34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FF34FA">
        <w:rPr>
          <w:rFonts w:asciiTheme="minorHAnsi" w:eastAsiaTheme="minorHAnsi" w:hAnsiTheme="minorHAnsi" w:cstheme="minorHAnsi"/>
          <w:lang w:eastAsia="en-US"/>
        </w:rPr>
        <w:t>Centar je pohađa</w:t>
      </w:r>
      <w:r w:rsidRPr="00C1642E">
        <w:rPr>
          <w:rFonts w:asciiTheme="minorHAnsi" w:eastAsiaTheme="minorHAnsi" w:hAnsiTheme="minorHAnsi" w:cstheme="minorHAnsi"/>
          <w:lang w:eastAsia="en-US"/>
        </w:rPr>
        <w:t xml:space="preserve">lo </w:t>
      </w:r>
      <w:r w:rsidRPr="00FF34FA">
        <w:rPr>
          <w:rFonts w:asciiTheme="minorHAnsi" w:eastAsiaTheme="minorHAnsi" w:hAnsiTheme="minorHAnsi" w:cstheme="minorHAnsi"/>
          <w:lang w:eastAsia="en-US"/>
        </w:rPr>
        <w:t xml:space="preserve"> učenika do kraja 06/2023.</w:t>
      </w:r>
    </w:p>
    <w:p w:rsidR="00FF34FA" w:rsidRPr="00FF34FA" w:rsidRDefault="00FF34FA" w:rsidP="00FF34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FF34FA">
        <w:rPr>
          <w:rFonts w:asciiTheme="minorHAnsi" w:eastAsiaTheme="minorHAnsi" w:hAnsiTheme="minorHAnsi" w:cstheme="minorHAnsi"/>
          <w:lang w:eastAsia="en-US"/>
        </w:rPr>
        <w:t>Centar trenutno pohađ</w:t>
      </w:r>
      <w:r w:rsidRPr="00C1642E">
        <w:rPr>
          <w:rFonts w:asciiTheme="minorHAnsi" w:eastAsiaTheme="minorHAnsi" w:hAnsiTheme="minorHAnsi" w:cstheme="minorHAnsi"/>
          <w:lang w:eastAsia="en-US"/>
        </w:rPr>
        <w:t>a 104 učenika raspoređenih u 26</w:t>
      </w:r>
      <w:r w:rsidRPr="00FF34FA">
        <w:rPr>
          <w:rFonts w:asciiTheme="minorHAnsi" w:eastAsiaTheme="minorHAnsi" w:hAnsiTheme="minorHAnsi" w:cstheme="minorHAnsi"/>
          <w:lang w:eastAsia="en-US"/>
        </w:rPr>
        <w:t xml:space="preserve"> odgojno – obrazovna razredna odjela i 13 PSP skupina. Nastava se odvija u petodnevnom radnom tjednu u jutarnjoj i popodnevnoj smjeni.</w:t>
      </w:r>
    </w:p>
    <w:p w:rsidR="00FF34FA" w:rsidRPr="00FF34FA" w:rsidRDefault="00FF34FA" w:rsidP="00FF34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FF34FA">
        <w:rPr>
          <w:rFonts w:asciiTheme="minorHAnsi" w:eastAsiaTheme="minorHAnsi" w:hAnsiTheme="minorHAnsi" w:cstheme="minorHAnsi"/>
          <w:lang w:eastAsia="en-US"/>
        </w:rPr>
        <w:t xml:space="preserve">Centar trenutno ima nastavno – odgojno obrazovanje na tri lokacije što predstavlja veliki problem za učenike. </w:t>
      </w:r>
    </w:p>
    <w:p w:rsidR="00FF34FA" w:rsidRPr="00FF34FA" w:rsidRDefault="00FF34FA" w:rsidP="00FF34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FF34FA">
        <w:rPr>
          <w:rFonts w:asciiTheme="minorHAnsi" w:eastAsiaTheme="minorHAnsi" w:hAnsiTheme="minorHAnsi" w:cstheme="minorHAnsi"/>
          <w:lang w:eastAsia="en-US"/>
        </w:rPr>
        <w:t>U Centru</w:t>
      </w:r>
      <w:r w:rsidRPr="00C1642E">
        <w:rPr>
          <w:rFonts w:asciiTheme="minorHAnsi" w:eastAsiaTheme="minorHAnsi" w:hAnsiTheme="minorHAnsi" w:cstheme="minorHAnsi"/>
          <w:lang w:eastAsia="en-US"/>
        </w:rPr>
        <w:t xml:space="preserve"> je ukupno 70 djelatnika i 21</w:t>
      </w:r>
      <w:r w:rsidRPr="00FF34FA">
        <w:rPr>
          <w:rFonts w:asciiTheme="minorHAnsi" w:eastAsiaTheme="minorHAnsi" w:hAnsiTheme="minorHAnsi" w:cstheme="minorHAnsi"/>
          <w:lang w:eastAsia="en-US"/>
        </w:rPr>
        <w:t xml:space="preserve"> pomoćnik u nastavi.</w:t>
      </w:r>
    </w:p>
    <w:p w:rsidR="00FF34FA" w:rsidRPr="00FF34FA" w:rsidRDefault="00FF34FA" w:rsidP="00FF34F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firstLine="708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  <w:b/>
        </w:rPr>
        <w:t>Obrazloženje programa rada školske ustanove</w:t>
      </w: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jc w:val="both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FF34FA" w:rsidRPr="00C1642E" w:rsidRDefault="00FF34FA" w:rsidP="00FF34F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Prioritet Centra je kvalitetno obrazovanje i odgoj učenika što ostvarujemo:</w:t>
      </w:r>
      <w:r w:rsidR="008B39E6">
        <w:rPr>
          <w:rFonts w:asciiTheme="minorHAnsi" w:hAnsiTheme="minorHAnsi" w:cstheme="minorHAnsi"/>
        </w:rPr>
        <w:t xml:space="preserve"> </w:t>
      </w:r>
      <w:r w:rsidRPr="00C1642E">
        <w:rPr>
          <w:rFonts w:asciiTheme="minorHAnsi" w:hAnsiTheme="minorHAnsi" w:cstheme="minorHAnsi"/>
        </w:rPr>
        <w:t>stalnim usavršavanjem nastavnika (seminari, stručni skupovi, aktivi, edukacija) i</w:t>
      </w:r>
      <w:r w:rsidR="008B39E6">
        <w:rPr>
          <w:rFonts w:asciiTheme="minorHAnsi" w:hAnsiTheme="minorHAnsi" w:cstheme="minorHAnsi"/>
        </w:rPr>
        <w:t xml:space="preserve"> </w:t>
      </w:r>
      <w:r w:rsidRPr="00C1642E">
        <w:rPr>
          <w:rFonts w:asciiTheme="minorHAnsi" w:hAnsiTheme="minorHAnsi" w:cstheme="minorHAnsi"/>
        </w:rPr>
        <w:t>podizanjem odgojno obrazovnog standarda na višu razinu, sve u skladu s našim mogućnostima  obzirom na nedostatna financijska sredstva.</w:t>
      </w:r>
    </w:p>
    <w:p w:rsidR="00FF34FA" w:rsidRPr="00C1642E" w:rsidRDefault="00FF34FA" w:rsidP="00FF34F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Obzirom da učenici ne mogu pratiti nastavu kao u ostalim školama, vodi se računa da imaju što više iznavanastavnih programa, kuglanje, plivanje, jahanje i razna sportska natjecanja.</w:t>
      </w: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  <w:b/>
        </w:rPr>
        <w:t xml:space="preserve"> Zakonske i druge podloge na kojima se zasniva program rada škole</w:t>
      </w: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Zakon o odgoju i obrazovanju u osnovnoj i srednjoj školi (NN br. 87/08, 86/09, 92/10, 90/11, 5/12, 16/12, 86/12, 94/13, 152/14 , 7/17 i 68/18,98/19,64/20,151/22)</w:t>
      </w:r>
    </w:p>
    <w:p w:rsidR="00FF34FA" w:rsidRPr="00C1642E" w:rsidRDefault="00FF34FA" w:rsidP="00FF34FA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Zakon o izmjenama Zakona o odgoju i obrazovanju u osnovnoj i srednjoj školi (NN br. 98/19)</w:t>
      </w:r>
    </w:p>
    <w:p w:rsidR="00FF34FA" w:rsidRPr="00C1642E" w:rsidRDefault="00FF34FA" w:rsidP="00FF34FA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lastRenderedPageBreak/>
        <w:t>Uredba o dopunama Zakona o odgoju i obrazovanju u osnovnoj i srednjoj školi (NN br. 64/20)</w:t>
      </w:r>
    </w:p>
    <w:p w:rsidR="00FF34FA" w:rsidRPr="00C1642E" w:rsidRDefault="00FF34FA" w:rsidP="00FF34FA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Zakon o ustanovama (NN br. 76/93, 29/97, 47/99 i 35/08, 127/19, 151/22)</w:t>
      </w:r>
    </w:p>
    <w:p w:rsidR="00FF34FA" w:rsidRPr="00C1642E" w:rsidRDefault="00FF34FA" w:rsidP="00FF34FA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Zakon o proračunu (NN br. 87/08, 136/12 i 15/15, 144/21), Pravilnik o proračunskim klasifikacijama (NN br. 26/10, 120/13 i 01/20) i Pravilnik o proračunskom računovodstvu i računskom planu (NN br. 124/14, 115/15, 87/16, 3/18, 126/19 i 108/20)</w:t>
      </w:r>
    </w:p>
    <w:p w:rsidR="00FF34FA" w:rsidRPr="00C1642E" w:rsidRDefault="00FF34FA" w:rsidP="00FF34FA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Upute za izradu proračuna Grada Splita za razdoblje 2024.-2026. godine</w:t>
      </w:r>
    </w:p>
    <w:p w:rsidR="00FF34FA" w:rsidRPr="00C1642E" w:rsidRDefault="00FF34FA" w:rsidP="00FF34FA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Godišnji plan i program rada škole, Školski kurikulum Osnovne škole „Brda“, nastavne i izvannastavne aktivnosti</w:t>
      </w:r>
    </w:p>
    <w:p w:rsidR="00FF34FA" w:rsidRPr="00C1642E" w:rsidRDefault="00FF34FA" w:rsidP="00FF34FA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Pravilnik o izvođenju izleta, ekskurzija i drugih odgojno obrazovnih aktivnosti izvan škole ( NN 87/08, 86/09, 92/10, 105/10-ispravak, 90/11, 16/12, 86/12, 94/13, 87/14, 81/15 i 53/21)</w:t>
      </w:r>
    </w:p>
    <w:p w:rsidR="00FF34FA" w:rsidRPr="00C1642E" w:rsidRDefault="00FF34FA" w:rsidP="00FF34FA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Odluka o kriterijima, mjerilima i načinu financiranja decentraliziranih funkcija osnovnog školstva Grada Splita</w:t>
      </w:r>
    </w:p>
    <w:p w:rsidR="00FF34FA" w:rsidRPr="00C1642E" w:rsidRDefault="00FF34FA" w:rsidP="00FF34FA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Pravilnik o mjerilima i načinu korištenja nenamjenskih donacija i vlastitih prihoda proračunskih korisnika Grada Splita („Službeni glasnik Grada Splita“ br. 35/23)</w:t>
      </w: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numPr>
          <w:ilvl w:val="0"/>
          <w:numId w:val="9"/>
        </w:numPr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  <w:b/>
        </w:rPr>
        <w:t>Usklađenost ciljeva, strategije programa s dokumentima dugoročnog razvoja</w:t>
      </w: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firstLine="708"/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Školske ustanove ne donose strateške, već godišnje operativne planove prema planu i programu koje je donijelo Ministarstvo znanosti i  obrazovanja (MZO). Vertikala usklađivanja ciljeva i programa MZO-a i jedinice lokalne (regionalne) samouprave sa školskim ustanovama još nije provedena.</w:t>
      </w:r>
    </w:p>
    <w:p w:rsidR="00FF34FA" w:rsidRPr="00C1642E" w:rsidRDefault="00FF34FA" w:rsidP="00FF34FA">
      <w:pPr>
        <w:ind w:firstLine="708"/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 xml:space="preserve">Također, planovi se donose za nastavnu, a ne fiskalnu godinu. To je uzrok mnogim odstupanjima u izvršenju financijskih planova, na primjer, pomak određenih aktivnosti unutar školske godine iz jednog polugodišta u drugo uzrokuje promjene u izvršenju financijskog plana za dvije fiskalne godine. </w:t>
      </w:r>
    </w:p>
    <w:p w:rsidR="00FF34FA" w:rsidRPr="00C1642E" w:rsidRDefault="00FF34FA" w:rsidP="00FF34FA">
      <w:pPr>
        <w:ind w:firstLine="708"/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Projekcije za 2025. i 2026. godinu su na razini 2024. godine sukladno uputama Grada.</w:t>
      </w: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  <w:b/>
        </w:rPr>
        <w:t>OPĆI DIO</w:t>
      </w: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firstLine="708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Opći dio financijskog plana sadrži:</w:t>
      </w:r>
    </w:p>
    <w:p w:rsidR="00FF34FA" w:rsidRPr="00C1642E" w:rsidRDefault="00FF34FA" w:rsidP="00FF34FA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sažetak Računa prihoda i rashoda i Računa financiranja</w:t>
      </w:r>
    </w:p>
    <w:p w:rsidR="00FF34FA" w:rsidRPr="00C1642E" w:rsidRDefault="00FF34FA" w:rsidP="00FF34FA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Račun prihoda i rashoda i Račun financiranja</w:t>
      </w:r>
    </w:p>
    <w:p w:rsidR="00FF34FA" w:rsidRPr="00C1642E" w:rsidRDefault="00FF34FA" w:rsidP="00FF34FA">
      <w:pPr>
        <w:ind w:left="1485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ind w:firstLine="708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Sažetak računa prihoda i rashoda i preneseni višak koji će se rasporediti (plan uravnoteženja) napravljen je posebno u kunama i posebno u eurima.</w:t>
      </w:r>
    </w:p>
    <w:p w:rsidR="00FF34FA" w:rsidRPr="00C1642E" w:rsidRDefault="00FF34FA" w:rsidP="00FF34FA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 xml:space="preserve">Račun prihoda i rashoda (prihodi, rashodi, rashodi prema funkcijskoj klasifikaciji) i račun financiranja izraženi su samo u eurima. Račun financiranja nemamo budući ne ostvarujemo </w:t>
      </w:r>
      <w:r w:rsidRPr="00C1642E">
        <w:rPr>
          <w:rFonts w:asciiTheme="minorHAnsi" w:hAnsiTheme="minorHAnsi" w:cstheme="minorHAnsi"/>
        </w:rPr>
        <w:lastRenderedPageBreak/>
        <w:t>primitke od financijske imovine i zaduživanja niti izdatke za financijsku imovinu i otplate zajmova. Planiranje je napravljeno  na drugoj razini ekonomske klasifikacije prema Uputama za izradu proračuna 2023. - 2025.  u novoj valuti, zbog uvođenje eura u 2023. Važno načelo koje smo primijenili pri izradi Financijskog plana je uravnoteženost plana koju smo postigli donosom viška iz prethodne godine.</w:t>
      </w:r>
    </w:p>
    <w:p w:rsidR="00FF34FA" w:rsidRPr="00C1642E" w:rsidRDefault="00FF34FA" w:rsidP="00FF34FA">
      <w:pPr>
        <w:ind w:left="720"/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  <w:b/>
        </w:rPr>
        <w:t>Prihodi za financiranje rada škole su:</w:t>
      </w:r>
    </w:p>
    <w:p w:rsidR="00FF34FA" w:rsidRPr="00C1642E" w:rsidRDefault="00FF34FA" w:rsidP="00FF34FA">
      <w:pPr>
        <w:ind w:left="720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</w:rPr>
        <w:t xml:space="preserve">Opći  prihodi i primitci, skupina 63, Državni proračun i  Županijski proračun;  </w:t>
      </w:r>
    </w:p>
    <w:p w:rsidR="00FF34FA" w:rsidRPr="00C1642E" w:rsidRDefault="00FF34FA" w:rsidP="00FF34FA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</w:rPr>
        <w:t>Opći prihodi i primitci, skupina 67, Gradski proračun za materijalne troškove poslovanja te održavanje i obnovu nefinancijske imovine;</w:t>
      </w:r>
    </w:p>
    <w:p w:rsidR="00FF34FA" w:rsidRPr="00C1642E" w:rsidRDefault="00FF34FA" w:rsidP="00FF34FA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</w:rPr>
        <w:t>Prihodi po posebnim propisima, skupina 65, sastoje se od prihoda za osiguranje učenika , učeničke majice i prijevoz, prihod roditelja za produženi boravak, naknadu štete i popravak tableta;</w:t>
      </w:r>
    </w:p>
    <w:p w:rsidR="00FF34FA" w:rsidRPr="00C1642E" w:rsidRDefault="00FF34FA" w:rsidP="00FF34FA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</w:rPr>
        <w:t>Prihodi od donacija, skupina 66;</w:t>
      </w:r>
    </w:p>
    <w:p w:rsidR="00FF34FA" w:rsidRPr="00C1642E" w:rsidRDefault="00FF34FA" w:rsidP="00FF34FA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</w:rPr>
        <w:t>Vlastiti prihodi, skupina 66;</w:t>
      </w:r>
    </w:p>
    <w:p w:rsidR="00FF34FA" w:rsidRPr="00C1642E" w:rsidRDefault="00FF34FA" w:rsidP="00FF34FA">
      <w:pPr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</w:rPr>
        <w:t>Preneseni viškovi, skupina 92</w:t>
      </w:r>
    </w:p>
    <w:p w:rsidR="00FF34FA" w:rsidRPr="00C1642E" w:rsidRDefault="00FF34FA" w:rsidP="00FF34FA">
      <w:pPr>
        <w:ind w:left="1020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  <w:b/>
        </w:rPr>
        <w:t>Ukupni prihodi</w:t>
      </w:r>
      <w:r w:rsidRPr="00C1642E">
        <w:rPr>
          <w:rFonts w:asciiTheme="minorHAnsi" w:hAnsiTheme="minorHAnsi" w:cstheme="minorHAnsi"/>
        </w:rPr>
        <w:t xml:space="preserve"> za 2024. godinu planirani su u iznosu od </w:t>
      </w:r>
      <w:r w:rsidRPr="00C1642E">
        <w:rPr>
          <w:rFonts w:asciiTheme="minorHAnsi" w:hAnsiTheme="minorHAnsi" w:cstheme="minorHAnsi"/>
          <w:b/>
        </w:rPr>
        <w:t>2.129.065,00</w:t>
      </w:r>
      <w:r w:rsidRPr="00C1642E">
        <w:rPr>
          <w:rFonts w:asciiTheme="minorHAnsi" w:hAnsiTheme="minorHAnsi" w:cstheme="minorHAnsi"/>
          <w:b/>
        </w:rPr>
        <w:t xml:space="preserve"> EUR</w:t>
      </w:r>
      <w:r w:rsidRPr="00C1642E">
        <w:rPr>
          <w:rFonts w:asciiTheme="minorHAnsi" w:hAnsiTheme="minorHAnsi" w:cstheme="minorHAnsi"/>
        </w:rPr>
        <w:t xml:space="preserve">. </w:t>
      </w:r>
    </w:p>
    <w:p w:rsidR="00FF34FA" w:rsidRPr="00C1642E" w:rsidRDefault="00FF34FA" w:rsidP="00FF34FA">
      <w:p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 xml:space="preserve">Projekcije za 2025. i 2026. ne uključuju prenesene viškove/manjkove i planiraju se na istom nivou prihoda i rashoda. </w:t>
      </w: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ind w:left="720" w:firstLine="210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720" w:firstLine="210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720" w:firstLine="210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720" w:firstLine="210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720" w:firstLine="210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720" w:firstLine="210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720" w:firstLine="210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720" w:firstLine="210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720" w:firstLine="210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720" w:firstLine="210"/>
        <w:rPr>
          <w:rFonts w:asciiTheme="minorHAnsi" w:hAnsiTheme="minorHAnsi" w:cstheme="minorHAnsi"/>
          <w:b/>
        </w:rPr>
      </w:pPr>
    </w:p>
    <w:p w:rsidR="00FF34FA" w:rsidRDefault="00FF34FA" w:rsidP="00FF34FA">
      <w:pPr>
        <w:ind w:left="720" w:firstLine="210"/>
        <w:rPr>
          <w:rFonts w:asciiTheme="minorHAnsi" w:hAnsiTheme="minorHAnsi" w:cstheme="minorHAnsi"/>
          <w:b/>
        </w:rPr>
      </w:pPr>
    </w:p>
    <w:p w:rsidR="008B39E6" w:rsidRDefault="008B39E6" w:rsidP="00FF34FA">
      <w:pPr>
        <w:ind w:left="720" w:firstLine="210"/>
        <w:rPr>
          <w:rFonts w:asciiTheme="minorHAnsi" w:hAnsiTheme="minorHAnsi" w:cstheme="minorHAnsi"/>
          <w:b/>
        </w:rPr>
      </w:pPr>
    </w:p>
    <w:p w:rsidR="008B39E6" w:rsidRDefault="008B39E6" w:rsidP="00FF34FA">
      <w:pPr>
        <w:ind w:left="720" w:firstLine="210"/>
        <w:rPr>
          <w:rFonts w:asciiTheme="minorHAnsi" w:hAnsiTheme="minorHAnsi" w:cstheme="minorHAnsi"/>
          <w:b/>
        </w:rPr>
      </w:pPr>
    </w:p>
    <w:p w:rsidR="008B39E6" w:rsidRDefault="008B39E6" w:rsidP="00FF34FA">
      <w:pPr>
        <w:ind w:left="720" w:firstLine="210"/>
        <w:rPr>
          <w:rFonts w:asciiTheme="minorHAnsi" w:hAnsiTheme="minorHAnsi" w:cstheme="minorHAnsi"/>
          <w:b/>
        </w:rPr>
      </w:pPr>
    </w:p>
    <w:p w:rsidR="008B39E6" w:rsidRDefault="008B39E6" w:rsidP="00FF34FA">
      <w:pPr>
        <w:ind w:left="720" w:firstLine="210"/>
        <w:rPr>
          <w:rFonts w:asciiTheme="minorHAnsi" w:hAnsiTheme="minorHAnsi" w:cstheme="minorHAnsi"/>
          <w:b/>
        </w:rPr>
      </w:pPr>
    </w:p>
    <w:p w:rsidR="008B39E6" w:rsidRDefault="008B39E6" w:rsidP="00FF34FA">
      <w:pPr>
        <w:ind w:left="720" w:firstLine="210"/>
        <w:rPr>
          <w:rFonts w:asciiTheme="minorHAnsi" w:hAnsiTheme="minorHAnsi" w:cstheme="minorHAnsi"/>
          <w:b/>
        </w:rPr>
      </w:pPr>
    </w:p>
    <w:p w:rsidR="008B39E6" w:rsidRDefault="008B39E6" w:rsidP="00FF34FA">
      <w:pPr>
        <w:ind w:left="720" w:firstLine="210"/>
        <w:rPr>
          <w:rFonts w:asciiTheme="minorHAnsi" w:hAnsiTheme="minorHAnsi" w:cstheme="minorHAnsi"/>
          <w:b/>
        </w:rPr>
      </w:pPr>
    </w:p>
    <w:p w:rsidR="008B39E6" w:rsidRDefault="008B39E6" w:rsidP="00FF34FA">
      <w:pPr>
        <w:ind w:left="720" w:firstLine="210"/>
        <w:rPr>
          <w:rFonts w:asciiTheme="minorHAnsi" w:hAnsiTheme="minorHAnsi" w:cstheme="minorHAnsi"/>
          <w:b/>
        </w:rPr>
      </w:pPr>
    </w:p>
    <w:p w:rsidR="008B39E6" w:rsidRDefault="008B39E6" w:rsidP="00FF34FA">
      <w:pPr>
        <w:ind w:left="720" w:firstLine="210"/>
        <w:rPr>
          <w:rFonts w:asciiTheme="minorHAnsi" w:hAnsiTheme="minorHAnsi" w:cstheme="minorHAnsi"/>
          <w:b/>
        </w:rPr>
      </w:pPr>
    </w:p>
    <w:p w:rsidR="008B39E6" w:rsidRDefault="008B39E6" w:rsidP="00FF34FA">
      <w:pPr>
        <w:ind w:left="720" w:firstLine="210"/>
        <w:rPr>
          <w:rFonts w:asciiTheme="minorHAnsi" w:hAnsiTheme="minorHAnsi" w:cstheme="minorHAnsi"/>
          <w:b/>
        </w:rPr>
      </w:pPr>
    </w:p>
    <w:p w:rsidR="008B39E6" w:rsidRDefault="008B39E6" w:rsidP="00FF34FA">
      <w:pPr>
        <w:ind w:left="720" w:firstLine="210"/>
        <w:rPr>
          <w:rFonts w:asciiTheme="minorHAnsi" w:hAnsiTheme="minorHAnsi" w:cstheme="minorHAnsi"/>
          <w:b/>
        </w:rPr>
      </w:pPr>
    </w:p>
    <w:p w:rsidR="008B39E6" w:rsidRPr="00C1642E" w:rsidRDefault="008B39E6" w:rsidP="00FF34FA">
      <w:pPr>
        <w:ind w:left="720" w:firstLine="210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720" w:firstLine="210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720" w:firstLine="210"/>
        <w:rPr>
          <w:rFonts w:asciiTheme="minorHAnsi" w:hAnsiTheme="minorHAnsi" w:cstheme="minorHAnsi"/>
          <w:b/>
        </w:rPr>
      </w:pPr>
    </w:p>
    <w:p w:rsidR="00C1642E" w:rsidRPr="00C1642E" w:rsidRDefault="00C1642E" w:rsidP="00C1642E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  <w:b/>
        </w:rPr>
        <w:lastRenderedPageBreak/>
        <w:t>POSEBNI DIO</w:t>
      </w:r>
    </w:p>
    <w:p w:rsidR="00C1642E" w:rsidRPr="00C1642E" w:rsidRDefault="00C1642E" w:rsidP="00C1642E">
      <w:pPr>
        <w:ind w:left="720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720" w:firstLine="210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Posebni dio financijskog plana sastoji se od plana rashoda iskazanih po:</w:t>
      </w:r>
    </w:p>
    <w:p w:rsidR="00FF34FA" w:rsidRPr="00C1642E" w:rsidRDefault="00FF34FA" w:rsidP="00FF34FA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Organizacijskoj klasifikaciji</w:t>
      </w:r>
    </w:p>
    <w:p w:rsidR="00FF34FA" w:rsidRPr="00C1642E" w:rsidRDefault="00FF34FA" w:rsidP="00FF34FA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Izvorima financiranja</w:t>
      </w:r>
    </w:p>
    <w:p w:rsidR="00FF34FA" w:rsidRPr="00C1642E" w:rsidRDefault="00FF34FA" w:rsidP="00FF34FA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Ekonomskoj klasifikaciji, raspoređenih u</w:t>
      </w:r>
    </w:p>
    <w:p w:rsidR="00FF34FA" w:rsidRPr="00C1642E" w:rsidRDefault="00FF34FA" w:rsidP="00FF34FA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Programe koji se sastoje od aktivnosti i projekata</w:t>
      </w: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720" w:firstLine="210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numPr>
          <w:ilvl w:val="1"/>
          <w:numId w:val="9"/>
        </w:numPr>
        <w:ind w:left="1440"/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  <w:b/>
        </w:rPr>
        <w:t xml:space="preserve">Prihodi iz državnog (izvor 5.3.) i županijskog (izvor 5.4.) nenadležnog proračuna - POMOĆI </w:t>
      </w: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1416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  <w:b/>
        </w:rPr>
        <w:t>5.3.</w:t>
      </w:r>
      <w:r w:rsidRPr="00C1642E">
        <w:rPr>
          <w:rFonts w:asciiTheme="minorHAnsi" w:hAnsiTheme="minorHAnsi" w:cstheme="minorHAnsi"/>
        </w:rPr>
        <w:t xml:space="preserve"> - prihodi MZO-a i služe za  pokriće  rashoda za zaposlene (plaća, materijalna prava zaposlenika, trošak prijevoza na posao i s posla); za financiranje izvannastavnih i izvanškol</w:t>
      </w:r>
      <w:r w:rsidRPr="00C1642E">
        <w:rPr>
          <w:rFonts w:asciiTheme="minorHAnsi" w:hAnsiTheme="minorHAnsi" w:cstheme="minorHAnsi"/>
        </w:rPr>
        <w:t>skih aktivnosti (nabavka materijala za čišćenje,didaktike, namirnica</w:t>
      </w:r>
      <w:r w:rsidR="00B43FBF" w:rsidRPr="00C1642E">
        <w:rPr>
          <w:rFonts w:asciiTheme="minorHAnsi" w:hAnsiTheme="minorHAnsi" w:cstheme="minorHAnsi"/>
        </w:rPr>
        <w:t>, motornog benzina,</w:t>
      </w:r>
      <w:r w:rsidRPr="00C1642E">
        <w:rPr>
          <w:rFonts w:asciiTheme="minorHAnsi" w:hAnsiTheme="minorHAnsi" w:cstheme="minorHAnsi"/>
        </w:rPr>
        <w:t xml:space="preserve">); financiranje učeničke prehrane; </w:t>
      </w:r>
      <w:r w:rsidR="00B43FBF" w:rsidRPr="00C1642E">
        <w:rPr>
          <w:rFonts w:asciiTheme="minorHAnsi" w:hAnsiTheme="minorHAnsi" w:cstheme="minorHAnsi"/>
        </w:rPr>
        <w:t>za financiranje prijevoza roditeljima, održavanja vozila.</w:t>
      </w:r>
    </w:p>
    <w:p w:rsidR="00FF34FA" w:rsidRPr="00C1642E" w:rsidRDefault="00FF34FA" w:rsidP="00FF34FA">
      <w:pPr>
        <w:ind w:left="1416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ind w:left="1416"/>
        <w:rPr>
          <w:rFonts w:asciiTheme="minorHAnsi" w:hAnsiTheme="minorHAnsi" w:cstheme="minorHAnsi"/>
          <w:u w:val="single"/>
        </w:rPr>
      </w:pPr>
      <w:r w:rsidRPr="00C1642E">
        <w:rPr>
          <w:rFonts w:asciiTheme="minorHAnsi" w:hAnsiTheme="minorHAnsi" w:cstheme="minorHAnsi"/>
          <w:u w:val="single"/>
        </w:rPr>
        <w:t xml:space="preserve">Aktivnosti i projekti škole obuhvaćeni prijedlogom financijskog plana škole koji se financiraju prihodima MZO-a:     </w:t>
      </w: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IZVANNAS</w:t>
      </w:r>
      <w:r w:rsidR="00B43FBF" w:rsidRPr="00C1642E">
        <w:rPr>
          <w:rFonts w:asciiTheme="minorHAnsi" w:hAnsiTheme="minorHAnsi" w:cstheme="minorHAnsi"/>
        </w:rPr>
        <w:t>TAVNE I IZVANŠKOLSKE AKTIVNOSTI</w:t>
      </w:r>
    </w:p>
    <w:p w:rsidR="00FF34FA" w:rsidRPr="00C1642E" w:rsidRDefault="00B43FBF" w:rsidP="00FF34F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RASHODI ZA MATERIJAL I ENERGIJU</w:t>
      </w:r>
    </w:p>
    <w:p w:rsidR="00FF34FA" w:rsidRPr="00C1642E" w:rsidRDefault="00B43FBF" w:rsidP="00FF34FA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RASHODI ZA USLUGE</w:t>
      </w:r>
    </w:p>
    <w:p w:rsidR="00B43FBF" w:rsidRPr="00C1642E" w:rsidRDefault="00B43FBF" w:rsidP="00FF34FA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OSTALI NESPOMENUTI RASHODI</w:t>
      </w:r>
    </w:p>
    <w:p w:rsidR="00FF34FA" w:rsidRPr="00C1642E" w:rsidRDefault="00FF34FA" w:rsidP="00FF34F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RASHODI ZA ZAPOSLENE U OSNOVNIM ŠKOLAMA</w:t>
      </w:r>
    </w:p>
    <w:p w:rsidR="00FF34FA" w:rsidRPr="00C1642E" w:rsidRDefault="00FF34FA" w:rsidP="00FF34FA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PREHRANA UČENIKA</w:t>
      </w:r>
    </w:p>
    <w:p w:rsidR="00FF34FA" w:rsidRPr="00C1642E" w:rsidRDefault="00FF34FA" w:rsidP="00FF34FA">
      <w:pPr>
        <w:ind w:left="1440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ind w:left="1416"/>
        <w:rPr>
          <w:rFonts w:asciiTheme="minorHAnsi" w:hAnsiTheme="minorHAnsi" w:cstheme="minorHAnsi"/>
          <w:b/>
        </w:rPr>
      </w:pPr>
    </w:p>
    <w:p w:rsidR="00FF34FA" w:rsidRPr="00C1642E" w:rsidRDefault="00B43FBF" w:rsidP="00B43FBF">
      <w:pPr>
        <w:ind w:left="1440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  <w:b/>
        </w:rPr>
        <w:t>5.4.</w:t>
      </w:r>
      <w:r w:rsidR="00FF34FA" w:rsidRPr="00C1642E">
        <w:rPr>
          <w:rFonts w:asciiTheme="minorHAnsi" w:hAnsiTheme="minorHAnsi" w:cstheme="minorHAnsi"/>
          <w:b/>
        </w:rPr>
        <w:t>-</w:t>
      </w:r>
      <w:r w:rsidR="00FF34FA" w:rsidRPr="00C1642E">
        <w:rPr>
          <w:rFonts w:asciiTheme="minorHAnsi" w:hAnsiTheme="minorHAnsi" w:cstheme="minorHAnsi"/>
        </w:rPr>
        <w:t xml:space="preserve"> prihodima Županije </w:t>
      </w:r>
      <w:r w:rsidRPr="00C1642E">
        <w:rPr>
          <w:rFonts w:asciiTheme="minorHAnsi" w:hAnsiTheme="minorHAnsi" w:cstheme="minorHAnsi"/>
        </w:rPr>
        <w:t xml:space="preserve">financiraju troškovi prijevoza djece koja žive izvan Grada Splita a koriste javni prijevoz. </w:t>
      </w:r>
    </w:p>
    <w:p w:rsidR="00B43FBF" w:rsidRPr="00C1642E" w:rsidRDefault="00B43FBF" w:rsidP="00B43FBF">
      <w:pPr>
        <w:ind w:left="1440"/>
        <w:rPr>
          <w:rFonts w:asciiTheme="minorHAnsi" w:hAnsiTheme="minorHAnsi" w:cstheme="minorHAnsi"/>
        </w:rPr>
      </w:pPr>
    </w:p>
    <w:p w:rsidR="00B43FBF" w:rsidRPr="00C1642E" w:rsidRDefault="00B43FBF" w:rsidP="00B43FBF">
      <w:pPr>
        <w:ind w:left="1440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ind w:left="1440"/>
        <w:rPr>
          <w:rFonts w:asciiTheme="minorHAnsi" w:hAnsiTheme="minorHAnsi" w:cstheme="minorHAnsi"/>
          <w:u w:val="single"/>
        </w:rPr>
      </w:pPr>
      <w:r w:rsidRPr="00C1642E">
        <w:rPr>
          <w:rFonts w:asciiTheme="minorHAnsi" w:hAnsiTheme="minorHAnsi" w:cstheme="minorHAnsi"/>
          <w:u w:val="single"/>
        </w:rPr>
        <w:t xml:space="preserve">Aktivnosti i projekti škole obuhvaćeni prijedlogom financijskog plana škole koji se financiraju prihodima Županije:     </w:t>
      </w:r>
    </w:p>
    <w:p w:rsidR="00FF34FA" w:rsidRPr="00C1642E" w:rsidRDefault="00FF34FA" w:rsidP="00FF34FA">
      <w:pPr>
        <w:ind w:left="1440"/>
        <w:rPr>
          <w:rFonts w:asciiTheme="minorHAnsi" w:hAnsiTheme="minorHAnsi" w:cstheme="minorHAnsi"/>
        </w:rPr>
      </w:pPr>
    </w:p>
    <w:p w:rsidR="00FF34FA" w:rsidRPr="00C1642E" w:rsidRDefault="00B43FBF" w:rsidP="00FF34FA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RASHODI ZA USLUGE PRIJEVOZA</w:t>
      </w:r>
    </w:p>
    <w:p w:rsidR="00FF34FA" w:rsidRPr="00C1642E" w:rsidRDefault="00FF34FA" w:rsidP="00B43FBF">
      <w:pPr>
        <w:ind w:left="1230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ind w:left="2160"/>
        <w:rPr>
          <w:rFonts w:asciiTheme="minorHAnsi" w:hAnsiTheme="minorHAnsi" w:cstheme="minorHAnsi"/>
        </w:rPr>
      </w:pPr>
    </w:p>
    <w:p w:rsidR="00FF34FA" w:rsidRPr="00C1642E" w:rsidRDefault="00FF34FA" w:rsidP="00B43FBF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ind w:left="2160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ind w:left="2160"/>
        <w:rPr>
          <w:rFonts w:asciiTheme="minorHAnsi" w:hAnsiTheme="minorHAnsi" w:cstheme="minorHAnsi"/>
        </w:rPr>
      </w:pPr>
    </w:p>
    <w:p w:rsidR="00B43FBF" w:rsidRPr="00C1642E" w:rsidRDefault="00B43FBF" w:rsidP="00FF34FA">
      <w:pPr>
        <w:ind w:left="2160"/>
        <w:rPr>
          <w:rFonts w:asciiTheme="minorHAnsi" w:hAnsiTheme="minorHAnsi" w:cstheme="minorHAnsi"/>
        </w:rPr>
      </w:pPr>
    </w:p>
    <w:p w:rsidR="00B43FBF" w:rsidRPr="00C1642E" w:rsidRDefault="00B43FBF" w:rsidP="00FF34FA">
      <w:pPr>
        <w:ind w:left="2160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numPr>
          <w:ilvl w:val="1"/>
          <w:numId w:val="9"/>
        </w:numPr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  <w:b/>
        </w:rPr>
        <w:t>Prihodi od Grada ( izvori 1.1. i 1.2.) - OPĆI PRIHODI I PRIMICI</w:t>
      </w:r>
    </w:p>
    <w:p w:rsidR="00FF34FA" w:rsidRPr="00C1642E" w:rsidRDefault="00FF34FA" w:rsidP="00FF34FA">
      <w:pPr>
        <w:ind w:left="1185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  <w:b/>
        </w:rPr>
        <w:t>Minimalni financijski standard (izvor 1.2.)</w:t>
      </w:r>
    </w:p>
    <w:p w:rsidR="00FF34FA" w:rsidRPr="00C1642E" w:rsidRDefault="00FF34FA" w:rsidP="00FF34FA">
      <w:pPr>
        <w:ind w:left="1905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1416"/>
        <w:rPr>
          <w:rFonts w:asciiTheme="minorHAnsi" w:hAnsiTheme="minorHAnsi" w:cstheme="minorHAnsi"/>
          <w:u w:val="single"/>
        </w:rPr>
      </w:pPr>
      <w:r w:rsidRPr="00C1642E">
        <w:rPr>
          <w:rFonts w:asciiTheme="minorHAnsi" w:hAnsiTheme="minorHAnsi" w:cstheme="minorHAnsi"/>
          <w:u w:val="single"/>
        </w:rPr>
        <w:t xml:space="preserve">Aktivnosti i projekti škole obuhvaćeni financijskim planom škole koji se financiraju prihodima Grada u sklopu minimalnog financijskog standarda:     </w:t>
      </w:r>
    </w:p>
    <w:p w:rsidR="00FF34FA" w:rsidRPr="00C1642E" w:rsidRDefault="00FF34FA" w:rsidP="00FF34FA">
      <w:pPr>
        <w:ind w:left="1605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 xml:space="preserve">REDOVNA PROGRAMSKA DJELATNOST OŠ - planira se prema zadanim kriterijima iz Uputa Grada za predviđeno razdoblje. Ukupne </w:t>
      </w:r>
      <w:bookmarkStart w:id="0" w:name="_GoBack"/>
      <w:bookmarkEnd w:id="0"/>
      <w:r w:rsidRPr="00C1642E">
        <w:rPr>
          <w:rFonts w:asciiTheme="minorHAnsi" w:hAnsiTheme="minorHAnsi" w:cstheme="minorHAnsi"/>
        </w:rPr>
        <w:t xml:space="preserve">prihode za minimalni standard čine prihodi prema </w:t>
      </w:r>
      <w:r w:rsidRPr="00C1642E">
        <w:rPr>
          <w:rFonts w:asciiTheme="minorHAnsi" w:hAnsiTheme="minorHAnsi" w:cstheme="minorHAnsi"/>
          <w:b/>
          <w:i/>
        </w:rPr>
        <w:t>opsegu     djelatnosti</w:t>
      </w:r>
      <w:r w:rsidRPr="00C1642E">
        <w:rPr>
          <w:rFonts w:asciiTheme="minorHAnsi" w:hAnsiTheme="minorHAnsi" w:cstheme="minorHAnsi"/>
        </w:rPr>
        <w:t xml:space="preserve"> i prihodi za </w:t>
      </w:r>
      <w:r w:rsidRPr="00C1642E">
        <w:rPr>
          <w:rFonts w:asciiTheme="minorHAnsi" w:hAnsiTheme="minorHAnsi" w:cstheme="minorHAnsi"/>
          <w:b/>
          <w:i/>
        </w:rPr>
        <w:t>ostale troškove</w:t>
      </w:r>
      <w:r w:rsidRPr="00C1642E">
        <w:rPr>
          <w:rFonts w:asciiTheme="minorHAnsi" w:hAnsiTheme="minorHAnsi" w:cstheme="minorHAnsi"/>
        </w:rPr>
        <w:t xml:space="preserve"> koje planiramo temeljem  očekivane potrošnje  energenata i  potrebe za zdravstvenim pregledima zaposlenika.  </w:t>
      </w:r>
    </w:p>
    <w:p w:rsidR="00FF34FA" w:rsidRPr="00C1642E" w:rsidRDefault="00FF34FA" w:rsidP="00FF34FA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 xml:space="preserve">KAPITALNA ULAGANJA U OPREMU-DEC. SREDSTVA su planirana prema zadanim kriterijima -200 EUR po razrednom odjeljenju </w:t>
      </w: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  <w:b/>
        </w:rPr>
        <w:t>Šire javne potrebe-iznad min. standarda (izvor 1.1.)</w:t>
      </w:r>
    </w:p>
    <w:p w:rsidR="00FF34FA" w:rsidRPr="00C1642E" w:rsidRDefault="00FF34FA" w:rsidP="00FF34FA">
      <w:pPr>
        <w:ind w:left="1905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1416"/>
        <w:rPr>
          <w:rFonts w:asciiTheme="minorHAnsi" w:hAnsiTheme="minorHAnsi" w:cstheme="minorHAnsi"/>
          <w:u w:val="single"/>
        </w:rPr>
      </w:pPr>
      <w:r w:rsidRPr="00C1642E">
        <w:rPr>
          <w:rFonts w:asciiTheme="minorHAnsi" w:hAnsiTheme="minorHAnsi" w:cstheme="minorHAnsi"/>
          <w:u w:val="single"/>
        </w:rPr>
        <w:t xml:space="preserve">Aktivnosti i projekti škole obuhvaćeni financijskim planom škole koji se financiraju prihodima Grada iznad minimalnog standarda:     </w:t>
      </w: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B43FBF">
      <w:pPr>
        <w:rPr>
          <w:rFonts w:asciiTheme="minorHAnsi" w:hAnsiTheme="minorHAnsi" w:cstheme="minorHAnsi"/>
        </w:rPr>
      </w:pPr>
    </w:p>
    <w:p w:rsidR="00FF34FA" w:rsidRPr="00C1642E" w:rsidRDefault="00FF34FA" w:rsidP="00B43FBF">
      <w:pPr>
        <w:numPr>
          <w:ilvl w:val="1"/>
          <w:numId w:val="2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IZVANNASTAVNE I IZVANŠKOLSKE A</w:t>
      </w:r>
      <w:r w:rsidR="00B43FBF" w:rsidRPr="00C1642E">
        <w:rPr>
          <w:rFonts w:asciiTheme="minorHAnsi" w:hAnsiTheme="minorHAnsi" w:cstheme="minorHAnsi"/>
        </w:rPr>
        <w:t>KTIVNOSTI (Ugovor o djelu –usluge psihijatra</w:t>
      </w:r>
      <w:r w:rsidRPr="00C1642E">
        <w:rPr>
          <w:rFonts w:asciiTheme="minorHAnsi" w:hAnsiTheme="minorHAnsi" w:cstheme="minorHAnsi"/>
        </w:rPr>
        <w:t xml:space="preserve">) </w:t>
      </w:r>
    </w:p>
    <w:p w:rsidR="00FF34FA" w:rsidRPr="00C1642E" w:rsidRDefault="00FF34FA" w:rsidP="00FF34FA">
      <w:pPr>
        <w:numPr>
          <w:ilvl w:val="1"/>
          <w:numId w:val="2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HITNE INTERVENCIJE (lom stakla )</w:t>
      </w:r>
    </w:p>
    <w:p w:rsidR="00FF34FA" w:rsidRPr="00C1642E" w:rsidRDefault="00B43FBF" w:rsidP="00B43FBF">
      <w:pPr>
        <w:numPr>
          <w:ilvl w:val="1"/>
          <w:numId w:val="2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MANIFESTACIJE ODGOJA I ŠKOLSTVA</w:t>
      </w:r>
    </w:p>
    <w:p w:rsidR="00FF34FA" w:rsidRPr="00C1642E" w:rsidRDefault="00B43FBF" w:rsidP="00FF34FA">
      <w:pPr>
        <w:numPr>
          <w:ilvl w:val="1"/>
          <w:numId w:val="2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NABAVA UDŽBENIKA I PRIBORA</w:t>
      </w:r>
    </w:p>
    <w:p w:rsidR="00FF34FA" w:rsidRPr="00C1642E" w:rsidRDefault="00FF34FA" w:rsidP="00FF34FA">
      <w:pPr>
        <w:numPr>
          <w:ilvl w:val="1"/>
          <w:numId w:val="2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 xml:space="preserve">PROJEKT E-ŠKOLE </w:t>
      </w:r>
    </w:p>
    <w:p w:rsidR="00FF34FA" w:rsidRPr="00C1642E" w:rsidRDefault="00FF34FA" w:rsidP="00FF34FA">
      <w:pPr>
        <w:numPr>
          <w:ilvl w:val="1"/>
          <w:numId w:val="2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 xml:space="preserve">EU PROJEKT „S POMOĆNIKOM MOGU BOLJE VI“ </w:t>
      </w:r>
    </w:p>
    <w:p w:rsidR="00FF34FA" w:rsidRPr="00C1642E" w:rsidRDefault="00FF34FA" w:rsidP="00FF34FA">
      <w:pPr>
        <w:numPr>
          <w:ilvl w:val="1"/>
          <w:numId w:val="2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 xml:space="preserve">NABAVKA ŠKOLSKE LEKTIRE </w:t>
      </w: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C1642E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ind w:left="1416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numPr>
          <w:ilvl w:val="1"/>
          <w:numId w:val="9"/>
        </w:numPr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  <w:b/>
        </w:rPr>
        <w:t>Donacije (izvor 6.1.)</w:t>
      </w:r>
    </w:p>
    <w:p w:rsidR="00FF34FA" w:rsidRPr="00C1642E" w:rsidRDefault="00FF34FA" w:rsidP="00FF34FA">
      <w:pPr>
        <w:ind w:left="1800"/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ind w:left="1440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 xml:space="preserve">Prihodom od donacija (tekućih i kapitalnih) od strane fizičkih osoba i trgovačkih društava financirat ćemo  </w:t>
      </w:r>
      <w:r w:rsidR="00C1642E" w:rsidRPr="00C1642E">
        <w:rPr>
          <w:rFonts w:asciiTheme="minorHAnsi" w:hAnsiTheme="minorHAnsi" w:cstheme="minorHAnsi"/>
        </w:rPr>
        <w:t>kupnju didaktičke opreme i ostaslih neophodnih pomagala u Centru sukladno Odluci školskog odbora.</w:t>
      </w:r>
      <w:r w:rsidRPr="00C1642E">
        <w:rPr>
          <w:rFonts w:asciiTheme="minorHAnsi" w:hAnsiTheme="minorHAnsi" w:cstheme="minorHAnsi"/>
        </w:rPr>
        <w:t xml:space="preserve"> </w:t>
      </w:r>
    </w:p>
    <w:p w:rsidR="00FF34FA" w:rsidRPr="00C1642E" w:rsidRDefault="00FF34FA" w:rsidP="00FF34FA">
      <w:pPr>
        <w:ind w:left="1440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ind w:left="1440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ind w:left="1440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ind w:left="1416"/>
        <w:rPr>
          <w:rFonts w:asciiTheme="minorHAnsi" w:hAnsiTheme="minorHAnsi" w:cstheme="minorHAnsi"/>
          <w:u w:val="single"/>
        </w:rPr>
      </w:pPr>
      <w:r w:rsidRPr="00C1642E">
        <w:rPr>
          <w:rFonts w:asciiTheme="minorHAnsi" w:hAnsiTheme="minorHAnsi" w:cstheme="minorHAnsi"/>
          <w:u w:val="single"/>
        </w:rPr>
        <w:t xml:space="preserve">Aktivnosti i projekti škole obuhvaćeni financijskim planom škole koji se financiraju prihodima od donacija:     </w:t>
      </w:r>
    </w:p>
    <w:p w:rsidR="00FF34FA" w:rsidRPr="00C1642E" w:rsidRDefault="00FF34FA" w:rsidP="00FF34FA">
      <w:pPr>
        <w:ind w:left="1416"/>
        <w:rPr>
          <w:rFonts w:asciiTheme="minorHAnsi" w:hAnsiTheme="minorHAnsi" w:cstheme="minorHAnsi"/>
          <w:u w:val="single"/>
        </w:rPr>
      </w:pPr>
    </w:p>
    <w:p w:rsidR="00FF34FA" w:rsidRPr="00C1642E" w:rsidRDefault="00FF34FA" w:rsidP="00C1642E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IZVANNA</w:t>
      </w:r>
      <w:r w:rsidR="00C1642E" w:rsidRPr="00C1642E">
        <w:rPr>
          <w:rFonts w:asciiTheme="minorHAnsi" w:hAnsiTheme="minorHAnsi" w:cstheme="minorHAnsi"/>
        </w:rPr>
        <w:t>STAVNE I IZVANŠKOLSKE AKTIVNOSTi</w:t>
      </w:r>
    </w:p>
    <w:p w:rsidR="00C1642E" w:rsidRPr="00C1642E" w:rsidRDefault="00C1642E" w:rsidP="00C1642E">
      <w:pPr>
        <w:ind w:left="1440"/>
        <w:rPr>
          <w:rFonts w:asciiTheme="minorHAnsi" w:hAnsiTheme="minorHAnsi" w:cstheme="minorHAnsi"/>
        </w:rPr>
      </w:pPr>
    </w:p>
    <w:p w:rsidR="00C1642E" w:rsidRPr="00C1642E" w:rsidRDefault="00C1642E" w:rsidP="00C1642E">
      <w:pPr>
        <w:ind w:left="1440"/>
        <w:rPr>
          <w:rFonts w:asciiTheme="minorHAnsi" w:hAnsiTheme="minorHAnsi" w:cstheme="minorHAnsi"/>
        </w:rPr>
      </w:pPr>
    </w:p>
    <w:p w:rsidR="00C1642E" w:rsidRPr="00C1642E" w:rsidRDefault="00C1642E" w:rsidP="00C1642E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OSTALI MATERIJALI ZA POTREBE RED. POSLOVANJA-DIDAKTIKA</w:t>
      </w: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rPr>
          <w:rFonts w:asciiTheme="minorHAnsi" w:hAnsiTheme="minorHAnsi" w:cstheme="minorHAnsi"/>
          <w:b/>
        </w:rPr>
      </w:pPr>
    </w:p>
    <w:p w:rsidR="00FF34FA" w:rsidRPr="00C1642E" w:rsidRDefault="00FF34FA" w:rsidP="00FF34FA">
      <w:pPr>
        <w:numPr>
          <w:ilvl w:val="1"/>
          <w:numId w:val="9"/>
        </w:numPr>
        <w:rPr>
          <w:rFonts w:asciiTheme="minorHAnsi" w:hAnsiTheme="minorHAnsi" w:cstheme="minorHAnsi"/>
          <w:b/>
        </w:rPr>
      </w:pPr>
      <w:r w:rsidRPr="00C1642E">
        <w:rPr>
          <w:rFonts w:asciiTheme="minorHAnsi" w:hAnsiTheme="minorHAnsi" w:cstheme="minorHAnsi"/>
          <w:b/>
        </w:rPr>
        <w:t>Izvještaj o postignutim ciljevima i rezultatima programa temeljenim na pokazateljima uspješnosti iz nadležnosti proračunskog korisnika u prethodnoj godini</w:t>
      </w:r>
    </w:p>
    <w:p w:rsidR="00FF34FA" w:rsidRPr="00C1642E" w:rsidRDefault="00FF34FA" w:rsidP="00FF34FA">
      <w:pPr>
        <w:ind w:left="720"/>
        <w:rPr>
          <w:rFonts w:asciiTheme="minorHAnsi" w:hAnsiTheme="minorHAnsi" w:cstheme="minorHAnsi"/>
          <w:b/>
        </w:rPr>
      </w:pPr>
    </w:p>
    <w:p w:rsidR="00FF34FA" w:rsidRPr="00C1642E" w:rsidRDefault="00FF34FA" w:rsidP="00C1642E">
      <w:pPr>
        <w:ind w:left="720"/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Škola je sudjelovala u EU projektu „S pomoćnikom mogu bolje V</w:t>
      </w:r>
      <w:r w:rsidR="00C1642E" w:rsidRPr="00C1642E">
        <w:rPr>
          <w:rFonts w:asciiTheme="minorHAnsi" w:hAnsiTheme="minorHAnsi" w:cstheme="minorHAnsi"/>
        </w:rPr>
        <w:t>“.</w:t>
      </w:r>
    </w:p>
    <w:p w:rsidR="00FF34FA" w:rsidRPr="00C1642E" w:rsidRDefault="00FF34FA" w:rsidP="00C1642E">
      <w:pPr>
        <w:ind w:left="720"/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Grad je financirao nabavku dodatnih obrazovnim materijala u sklopu aktivnosti Nabavka udžbenika i pribora.</w:t>
      </w:r>
    </w:p>
    <w:p w:rsidR="00C1642E" w:rsidRPr="00C1642E" w:rsidRDefault="00C1642E" w:rsidP="00C1642E">
      <w:pPr>
        <w:ind w:left="720"/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U tijeku je zavšetak uređenja novin prostora Centra za autizam u Teslinoj ulici.</w:t>
      </w:r>
    </w:p>
    <w:p w:rsidR="00FF34FA" w:rsidRPr="00C1642E" w:rsidRDefault="00FF34FA" w:rsidP="00C1642E">
      <w:pPr>
        <w:ind w:left="708"/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 xml:space="preserve">Zaposlenici su se stručno usavršavali na stručnim skupovima. </w:t>
      </w:r>
    </w:p>
    <w:p w:rsidR="00FF34FA" w:rsidRPr="00C1642E" w:rsidRDefault="00C1642E" w:rsidP="00C1642E">
      <w:pPr>
        <w:jc w:val="both"/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 xml:space="preserve">             </w:t>
      </w:r>
      <w:r w:rsidR="00FF34FA" w:rsidRPr="00C1642E">
        <w:rPr>
          <w:rFonts w:asciiTheme="minorHAnsi" w:hAnsiTheme="minorHAnsi" w:cstheme="minorHAnsi"/>
        </w:rPr>
        <w:t>Ostvareno je redovno odvijanje nastavnog procesa.</w:t>
      </w:r>
    </w:p>
    <w:p w:rsidR="00FF34FA" w:rsidRPr="00C1642E" w:rsidRDefault="00FF34FA" w:rsidP="00C1642E">
      <w:pPr>
        <w:ind w:left="720"/>
        <w:jc w:val="both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ind w:left="720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ind w:left="720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ind w:left="720"/>
        <w:rPr>
          <w:rFonts w:asciiTheme="minorHAnsi" w:hAnsiTheme="minorHAnsi" w:cstheme="minorHAnsi"/>
        </w:rPr>
      </w:pP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  <w:t xml:space="preserve">          Ravnateljica</w:t>
      </w: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  <w:t xml:space="preserve">      _____________________                  </w:t>
      </w: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</w:r>
      <w:r w:rsidRPr="00C1642E">
        <w:rPr>
          <w:rFonts w:asciiTheme="minorHAnsi" w:hAnsiTheme="minorHAnsi" w:cstheme="minorHAnsi"/>
        </w:rPr>
        <w:tab/>
        <w:t xml:space="preserve">                                           </w:t>
      </w:r>
      <w:r w:rsidR="00C1642E" w:rsidRPr="00C1642E">
        <w:rPr>
          <w:rFonts w:asciiTheme="minorHAnsi" w:hAnsiTheme="minorHAnsi" w:cstheme="minorHAnsi"/>
        </w:rPr>
        <w:t>Alemka Đivoje,mag.art.</w:t>
      </w:r>
    </w:p>
    <w:p w:rsidR="00FF34FA" w:rsidRPr="00C1642E" w:rsidRDefault="00FF34FA" w:rsidP="00FF34FA">
      <w:pPr>
        <w:rPr>
          <w:rFonts w:asciiTheme="minorHAnsi" w:hAnsiTheme="minorHAnsi" w:cstheme="minorHAnsi"/>
        </w:rPr>
      </w:pPr>
    </w:p>
    <w:p w:rsidR="00FF34FA" w:rsidRPr="00C1642E" w:rsidRDefault="00FF34FA" w:rsidP="00FF34FA">
      <w:pPr>
        <w:rPr>
          <w:rFonts w:asciiTheme="minorHAnsi" w:hAnsiTheme="minorHAnsi" w:cstheme="minorHAnsi"/>
        </w:rPr>
      </w:pPr>
      <w:r w:rsidRPr="00C1642E">
        <w:rPr>
          <w:rFonts w:asciiTheme="minorHAnsi" w:hAnsiTheme="minorHAnsi" w:cstheme="minorHAnsi"/>
        </w:rPr>
        <w:t>Split, 29.09.2023.</w:t>
      </w:r>
    </w:p>
    <w:p w:rsidR="00730DD8" w:rsidRPr="00C1642E" w:rsidRDefault="00730DD8">
      <w:pPr>
        <w:rPr>
          <w:rFonts w:asciiTheme="minorHAnsi" w:hAnsiTheme="minorHAnsi" w:cstheme="minorHAnsi"/>
        </w:rPr>
      </w:pPr>
    </w:p>
    <w:sectPr w:rsidR="00730DD8" w:rsidRPr="00C164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DD8" w:rsidRDefault="00EE7DD8" w:rsidP="00FF34FA">
      <w:r>
        <w:separator/>
      </w:r>
    </w:p>
  </w:endnote>
  <w:endnote w:type="continuationSeparator" w:id="0">
    <w:p w:rsidR="00EE7DD8" w:rsidRDefault="00EE7DD8" w:rsidP="00FF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6A0" w:rsidRDefault="00EE7DD8">
    <w:pPr>
      <w:pStyle w:val="Footer"/>
      <w:jc w:val="center"/>
    </w:pPr>
    <w:r>
      <w:fldChar w:fldCharType="begin"/>
    </w:r>
    <w:r>
      <w:instrText>PA</w:instrText>
    </w:r>
    <w:r>
      <w:instrText>GE   \* MERGEFORMAT</w:instrText>
    </w:r>
    <w:r>
      <w:fldChar w:fldCharType="separate"/>
    </w:r>
    <w:r w:rsidR="008B39E6">
      <w:rPr>
        <w:noProof/>
      </w:rPr>
      <w:t>6</w:t>
    </w:r>
    <w:r>
      <w:fldChar w:fldCharType="end"/>
    </w:r>
  </w:p>
  <w:p w:rsidR="003106A0" w:rsidRDefault="00EE7D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DD8" w:rsidRDefault="00EE7DD8" w:rsidP="00FF34FA">
      <w:r>
        <w:separator/>
      </w:r>
    </w:p>
  </w:footnote>
  <w:footnote w:type="continuationSeparator" w:id="0">
    <w:p w:rsidR="00EE7DD8" w:rsidRDefault="00EE7DD8" w:rsidP="00FF3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AA4" w:rsidRPr="00222F00" w:rsidRDefault="00FF34FA">
    <w:pPr>
      <w:pStyle w:val="Header"/>
      <w:rPr>
        <w:i/>
        <w:sz w:val="20"/>
        <w:szCs w:val="20"/>
      </w:rPr>
    </w:pPr>
    <w:r>
      <w:rPr>
        <w:i/>
        <w:sz w:val="20"/>
        <w:szCs w:val="20"/>
      </w:rPr>
      <w:t>Centar za autizam Split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11C6"/>
    <w:multiLevelType w:val="hybridMultilevel"/>
    <w:tmpl w:val="6A8CF142"/>
    <w:lvl w:ilvl="0" w:tplc="041A000F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 w15:restartNumberingAfterBreak="0">
    <w:nsid w:val="1F71640F"/>
    <w:multiLevelType w:val="hybridMultilevel"/>
    <w:tmpl w:val="3F48FA4E"/>
    <w:lvl w:ilvl="0" w:tplc="041A000F">
      <w:start w:val="1"/>
      <w:numFmt w:val="decimal"/>
      <w:lvlText w:val="%1."/>
      <w:lvlJc w:val="left"/>
      <w:pPr>
        <w:ind w:left="1455" w:hanging="360"/>
      </w:pPr>
    </w:lvl>
    <w:lvl w:ilvl="1" w:tplc="041A0019" w:tentative="1">
      <w:start w:val="1"/>
      <w:numFmt w:val="lowerLetter"/>
      <w:lvlText w:val="%2."/>
      <w:lvlJc w:val="left"/>
      <w:pPr>
        <w:ind w:left="2175" w:hanging="360"/>
      </w:pPr>
    </w:lvl>
    <w:lvl w:ilvl="2" w:tplc="041A001B" w:tentative="1">
      <w:start w:val="1"/>
      <w:numFmt w:val="lowerRoman"/>
      <w:lvlText w:val="%3."/>
      <w:lvlJc w:val="right"/>
      <w:pPr>
        <w:ind w:left="2895" w:hanging="180"/>
      </w:pPr>
    </w:lvl>
    <w:lvl w:ilvl="3" w:tplc="041A000F" w:tentative="1">
      <w:start w:val="1"/>
      <w:numFmt w:val="decimal"/>
      <w:lvlText w:val="%4."/>
      <w:lvlJc w:val="left"/>
      <w:pPr>
        <w:ind w:left="3615" w:hanging="360"/>
      </w:pPr>
    </w:lvl>
    <w:lvl w:ilvl="4" w:tplc="041A0019" w:tentative="1">
      <w:start w:val="1"/>
      <w:numFmt w:val="lowerLetter"/>
      <w:lvlText w:val="%5."/>
      <w:lvlJc w:val="left"/>
      <w:pPr>
        <w:ind w:left="4335" w:hanging="360"/>
      </w:pPr>
    </w:lvl>
    <w:lvl w:ilvl="5" w:tplc="041A001B" w:tentative="1">
      <w:start w:val="1"/>
      <w:numFmt w:val="lowerRoman"/>
      <w:lvlText w:val="%6."/>
      <w:lvlJc w:val="right"/>
      <w:pPr>
        <w:ind w:left="5055" w:hanging="180"/>
      </w:pPr>
    </w:lvl>
    <w:lvl w:ilvl="6" w:tplc="041A000F" w:tentative="1">
      <w:start w:val="1"/>
      <w:numFmt w:val="decimal"/>
      <w:lvlText w:val="%7."/>
      <w:lvlJc w:val="left"/>
      <w:pPr>
        <w:ind w:left="5775" w:hanging="360"/>
      </w:pPr>
    </w:lvl>
    <w:lvl w:ilvl="7" w:tplc="041A0019" w:tentative="1">
      <w:start w:val="1"/>
      <w:numFmt w:val="lowerLetter"/>
      <w:lvlText w:val="%8."/>
      <w:lvlJc w:val="left"/>
      <w:pPr>
        <w:ind w:left="6495" w:hanging="360"/>
      </w:pPr>
    </w:lvl>
    <w:lvl w:ilvl="8" w:tplc="041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217659AE"/>
    <w:multiLevelType w:val="hybridMultilevel"/>
    <w:tmpl w:val="64245302"/>
    <w:lvl w:ilvl="0" w:tplc="041A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 w15:restartNumberingAfterBreak="0">
    <w:nsid w:val="249F16B4"/>
    <w:multiLevelType w:val="multilevel"/>
    <w:tmpl w:val="6BBEB398"/>
    <w:styleLink w:val="Stil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 w15:restartNumberingAfterBreak="0">
    <w:nsid w:val="2B7B4F19"/>
    <w:multiLevelType w:val="hybridMultilevel"/>
    <w:tmpl w:val="76868B8A"/>
    <w:lvl w:ilvl="0" w:tplc="041A000F">
      <w:start w:val="1"/>
      <w:numFmt w:val="decimal"/>
      <w:lvlText w:val="%1."/>
      <w:lvlJc w:val="left"/>
      <w:pPr>
        <w:ind w:left="1590" w:hanging="360"/>
      </w:pPr>
    </w:lvl>
    <w:lvl w:ilvl="1" w:tplc="041A0019" w:tentative="1">
      <w:start w:val="1"/>
      <w:numFmt w:val="lowerLetter"/>
      <w:lvlText w:val="%2."/>
      <w:lvlJc w:val="left"/>
      <w:pPr>
        <w:ind w:left="2310" w:hanging="360"/>
      </w:pPr>
    </w:lvl>
    <w:lvl w:ilvl="2" w:tplc="041A001B" w:tentative="1">
      <w:start w:val="1"/>
      <w:numFmt w:val="lowerRoman"/>
      <w:lvlText w:val="%3."/>
      <w:lvlJc w:val="right"/>
      <w:pPr>
        <w:ind w:left="3030" w:hanging="180"/>
      </w:pPr>
    </w:lvl>
    <w:lvl w:ilvl="3" w:tplc="041A000F" w:tentative="1">
      <w:start w:val="1"/>
      <w:numFmt w:val="decimal"/>
      <w:lvlText w:val="%4."/>
      <w:lvlJc w:val="left"/>
      <w:pPr>
        <w:ind w:left="3750" w:hanging="360"/>
      </w:pPr>
    </w:lvl>
    <w:lvl w:ilvl="4" w:tplc="041A0019" w:tentative="1">
      <w:start w:val="1"/>
      <w:numFmt w:val="lowerLetter"/>
      <w:lvlText w:val="%5."/>
      <w:lvlJc w:val="left"/>
      <w:pPr>
        <w:ind w:left="4470" w:hanging="360"/>
      </w:pPr>
    </w:lvl>
    <w:lvl w:ilvl="5" w:tplc="041A001B" w:tentative="1">
      <w:start w:val="1"/>
      <w:numFmt w:val="lowerRoman"/>
      <w:lvlText w:val="%6."/>
      <w:lvlJc w:val="right"/>
      <w:pPr>
        <w:ind w:left="5190" w:hanging="180"/>
      </w:pPr>
    </w:lvl>
    <w:lvl w:ilvl="6" w:tplc="041A000F" w:tentative="1">
      <w:start w:val="1"/>
      <w:numFmt w:val="decimal"/>
      <w:lvlText w:val="%7."/>
      <w:lvlJc w:val="left"/>
      <w:pPr>
        <w:ind w:left="5910" w:hanging="360"/>
      </w:pPr>
    </w:lvl>
    <w:lvl w:ilvl="7" w:tplc="041A0019" w:tentative="1">
      <w:start w:val="1"/>
      <w:numFmt w:val="lowerLetter"/>
      <w:lvlText w:val="%8."/>
      <w:lvlJc w:val="left"/>
      <w:pPr>
        <w:ind w:left="6630" w:hanging="360"/>
      </w:pPr>
    </w:lvl>
    <w:lvl w:ilvl="8" w:tplc="041A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2FF50C32"/>
    <w:multiLevelType w:val="hybridMultilevel"/>
    <w:tmpl w:val="233E8352"/>
    <w:lvl w:ilvl="0" w:tplc="041A000F">
      <w:start w:val="1"/>
      <w:numFmt w:val="decimal"/>
      <w:lvlText w:val="%1."/>
      <w:lvlJc w:val="left"/>
      <w:pPr>
        <w:ind w:left="2190" w:hanging="360"/>
      </w:pPr>
    </w:lvl>
    <w:lvl w:ilvl="1" w:tplc="041A0019" w:tentative="1">
      <w:start w:val="1"/>
      <w:numFmt w:val="lowerLetter"/>
      <w:lvlText w:val="%2."/>
      <w:lvlJc w:val="left"/>
      <w:pPr>
        <w:ind w:left="2910" w:hanging="360"/>
      </w:pPr>
    </w:lvl>
    <w:lvl w:ilvl="2" w:tplc="041A001B" w:tentative="1">
      <w:start w:val="1"/>
      <w:numFmt w:val="lowerRoman"/>
      <w:lvlText w:val="%3."/>
      <w:lvlJc w:val="right"/>
      <w:pPr>
        <w:ind w:left="3630" w:hanging="180"/>
      </w:pPr>
    </w:lvl>
    <w:lvl w:ilvl="3" w:tplc="041A000F" w:tentative="1">
      <w:start w:val="1"/>
      <w:numFmt w:val="decimal"/>
      <w:lvlText w:val="%4."/>
      <w:lvlJc w:val="left"/>
      <w:pPr>
        <w:ind w:left="4350" w:hanging="360"/>
      </w:pPr>
    </w:lvl>
    <w:lvl w:ilvl="4" w:tplc="041A0019" w:tentative="1">
      <w:start w:val="1"/>
      <w:numFmt w:val="lowerLetter"/>
      <w:lvlText w:val="%5."/>
      <w:lvlJc w:val="left"/>
      <w:pPr>
        <w:ind w:left="5070" w:hanging="360"/>
      </w:pPr>
    </w:lvl>
    <w:lvl w:ilvl="5" w:tplc="041A001B" w:tentative="1">
      <w:start w:val="1"/>
      <w:numFmt w:val="lowerRoman"/>
      <w:lvlText w:val="%6."/>
      <w:lvlJc w:val="right"/>
      <w:pPr>
        <w:ind w:left="5790" w:hanging="180"/>
      </w:pPr>
    </w:lvl>
    <w:lvl w:ilvl="6" w:tplc="041A000F" w:tentative="1">
      <w:start w:val="1"/>
      <w:numFmt w:val="decimal"/>
      <w:lvlText w:val="%7."/>
      <w:lvlJc w:val="left"/>
      <w:pPr>
        <w:ind w:left="6510" w:hanging="360"/>
      </w:pPr>
    </w:lvl>
    <w:lvl w:ilvl="7" w:tplc="041A0019" w:tentative="1">
      <w:start w:val="1"/>
      <w:numFmt w:val="lowerLetter"/>
      <w:lvlText w:val="%8."/>
      <w:lvlJc w:val="left"/>
      <w:pPr>
        <w:ind w:left="7230" w:hanging="360"/>
      </w:pPr>
    </w:lvl>
    <w:lvl w:ilvl="8" w:tplc="041A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6" w15:restartNumberingAfterBreak="0">
    <w:nsid w:val="3713095C"/>
    <w:multiLevelType w:val="multilevel"/>
    <w:tmpl w:val="6194E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 w15:restartNumberingAfterBreak="0">
    <w:nsid w:val="3C455EBD"/>
    <w:multiLevelType w:val="hybridMultilevel"/>
    <w:tmpl w:val="16FABCEA"/>
    <w:lvl w:ilvl="0" w:tplc="041A000F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48A35B1C"/>
    <w:multiLevelType w:val="hybridMultilevel"/>
    <w:tmpl w:val="EFF8C208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897B64"/>
    <w:multiLevelType w:val="multilevel"/>
    <w:tmpl w:val="6BBEB398"/>
    <w:numStyleLink w:val="Stil1"/>
  </w:abstractNum>
  <w:abstractNum w:abstractNumId="10" w15:restartNumberingAfterBreak="0">
    <w:nsid w:val="6ED51E9D"/>
    <w:multiLevelType w:val="hybridMultilevel"/>
    <w:tmpl w:val="66A65C9E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787E540E"/>
    <w:multiLevelType w:val="hybridMultilevel"/>
    <w:tmpl w:val="AE826614"/>
    <w:lvl w:ilvl="0" w:tplc="BA82B85C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78AE0ADA"/>
    <w:multiLevelType w:val="hybridMultilevel"/>
    <w:tmpl w:val="F11E98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97911"/>
    <w:multiLevelType w:val="multilevel"/>
    <w:tmpl w:val="1360B89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6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  <w:b/>
      </w:rPr>
    </w:lvl>
  </w:abstractNum>
  <w:abstractNum w:abstractNumId="14" w15:restartNumberingAfterBreak="0">
    <w:nsid w:val="7FAD554E"/>
    <w:multiLevelType w:val="hybridMultilevel"/>
    <w:tmpl w:val="BEF408E4"/>
    <w:lvl w:ilvl="0" w:tplc="91DAF2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3195"/>
        </w:tabs>
        <w:ind w:left="3195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1"/>
  </w:num>
  <w:num w:numId="8">
    <w:abstractNumId w:val="3"/>
  </w:num>
  <w:num w:numId="9">
    <w:abstractNumId w:val="9"/>
  </w:num>
  <w:num w:numId="10">
    <w:abstractNumId w:val="11"/>
  </w:num>
  <w:num w:numId="11">
    <w:abstractNumId w:val="10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FA"/>
    <w:rsid w:val="00730DD8"/>
    <w:rsid w:val="008B39E6"/>
    <w:rsid w:val="00B43FBF"/>
    <w:rsid w:val="00C1642E"/>
    <w:rsid w:val="00EE7DD8"/>
    <w:rsid w:val="00F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52C0B5-326A-4D72-A032-5DC09E07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34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4F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FF34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4F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F34FA"/>
    <w:pPr>
      <w:ind w:left="708"/>
    </w:pPr>
  </w:style>
  <w:style w:type="numbering" w:customStyle="1" w:styleId="Stil1">
    <w:name w:val="Stil1"/>
    <w:rsid w:val="00FF34FA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4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42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Klaric</dc:creator>
  <cp:keywords/>
  <dc:description/>
  <cp:lastModifiedBy>Vanja Klaric</cp:lastModifiedBy>
  <cp:revision>1</cp:revision>
  <cp:lastPrinted>2024-02-29T08:09:00Z</cp:lastPrinted>
  <dcterms:created xsi:type="dcterms:W3CDTF">2024-02-29T07:38:00Z</dcterms:created>
  <dcterms:modified xsi:type="dcterms:W3CDTF">2024-02-29T08:10:00Z</dcterms:modified>
</cp:coreProperties>
</file>