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94FF" w14:textId="53884131" w:rsidR="00AE7F17" w:rsidRDefault="004154E0">
      <w:r>
        <w:t>Gimnazija „Matija Mesić“</w:t>
      </w:r>
    </w:p>
    <w:p w14:paraId="2CAEED26" w14:textId="7D0C49D6" w:rsidR="004154E0" w:rsidRDefault="004154E0">
      <w:r>
        <w:t>Slavonski Brod</w:t>
      </w:r>
    </w:p>
    <w:p w14:paraId="4DCCA1CC" w14:textId="2DD12ADB" w:rsidR="004154E0" w:rsidRDefault="00AE7F17">
      <w:r>
        <w:t>U S</w:t>
      </w:r>
      <w:r w:rsidR="005A7C2C">
        <w:t>lavonsk</w:t>
      </w:r>
      <w:r>
        <w:t>om</w:t>
      </w:r>
      <w:r w:rsidR="005A7C2C">
        <w:t xml:space="preserve"> Brod</w:t>
      </w:r>
      <w:r>
        <w:t>u</w:t>
      </w:r>
      <w:r w:rsidR="005A7C2C">
        <w:t>, 2</w:t>
      </w:r>
      <w:r w:rsidR="00475063">
        <w:t>6</w:t>
      </w:r>
      <w:r w:rsidR="007C366C">
        <w:t>. siječnja 202</w:t>
      </w:r>
      <w:r w:rsidR="00892208">
        <w:t>2</w:t>
      </w:r>
      <w:r w:rsidR="004154E0">
        <w:t>.g.</w:t>
      </w:r>
    </w:p>
    <w:p w14:paraId="3E67E487" w14:textId="77777777" w:rsidR="004154E0" w:rsidRPr="001A6A26" w:rsidRDefault="004154E0" w:rsidP="001A6A26">
      <w:pPr>
        <w:jc w:val="center"/>
        <w:rPr>
          <w:b/>
        </w:rPr>
      </w:pPr>
    </w:p>
    <w:p w14:paraId="32B6EB95" w14:textId="75D673B5" w:rsidR="004154E0" w:rsidRDefault="004154E0" w:rsidP="00AE7F17">
      <w:pPr>
        <w:jc w:val="center"/>
        <w:rPr>
          <w:b/>
        </w:rPr>
      </w:pPr>
      <w:r w:rsidRPr="001A6A26">
        <w:rPr>
          <w:b/>
        </w:rPr>
        <w:t>BILJEŠKE UZ FINANCIJSKE IZVJEŠTAJE ZA RAZDOBLJE</w:t>
      </w:r>
    </w:p>
    <w:p w14:paraId="3F21D9D8" w14:textId="5352FFE6" w:rsidR="00A765F3" w:rsidRPr="001A6A26" w:rsidRDefault="00A765F3" w:rsidP="00AE7F17">
      <w:pPr>
        <w:jc w:val="center"/>
        <w:rPr>
          <w:b/>
        </w:rPr>
      </w:pPr>
      <w:r>
        <w:rPr>
          <w:b/>
        </w:rPr>
        <w:t>OD 1. SIJEČNJA DO 31. PROSINCA 202</w:t>
      </w:r>
      <w:r w:rsidR="00892208">
        <w:rPr>
          <w:b/>
        </w:rPr>
        <w:t>1</w:t>
      </w:r>
      <w:r>
        <w:rPr>
          <w:b/>
        </w:rPr>
        <w:t>.G.</w:t>
      </w:r>
    </w:p>
    <w:p w14:paraId="5DE52462" w14:textId="77777777" w:rsidR="0098677A" w:rsidRPr="00B20C9F" w:rsidRDefault="0098677A" w:rsidP="00B20C9F">
      <w:pPr>
        <w:ind w:left="360"/>
        <w:jc w:val="center"/>
        <w:rPr>
          <w:b/>
        </w:rPr>
      </w:pPr>
    </w:p>
    <w:p w14:paraId="3AB19F50" w14:textId="77777777" w:rsidR="004154E0" w:rsidRDefault="004154E0" w:rsidP="001A6A26">
      <w:pPr>
        <w:spacing w:after="0"/>
      </w:pPr>
      <w:r>
        <w:t>Broj RKP-a: 17763</w:t>
      </w:r>
    </w:p>
    <w:p w14:paraId="4B39A67D" w14:textId="77777777" w:rsidR="004154E0" w:rsidRDefault="004154E0" w:rsidP="001A6A26">
      <w:pPr>
        <w:spacing w:after="0"/>
      </w:pPr>
      <w:r>
        <w:t>Matični broj: 03776433</w:t>
      </w:r>
    </w:p>
    <w:p w14:paraId="7DB4EEDC" w14:textId="77777777" w:rsidR="004154E0" w:rsidRDefault="004154E0" w:rsidP="001A6A26">
      <w:pPr>
        <w:spacing w:after="0"/>
      </w:pPr>
      <w:r>
        <w:t>OIB: 45966285848</w:t>
      </w:r>
    </w:p>
    <w:p w14:paraId="213C6BE1" w14:textId="77777777" w:rsidR="004154E0" w:rsidRDefault="004154E0" w:rsidP="001A6A26">
      <w:pPr>
        <w:spacing w:after="0"/>
      </w:pPr>
      <w:r>
        <w:t>Naziv i adresa obveznika: Gimnazija „Matija Mesić“, Naselje Slavonija I, br.8, Slavonski Brod</w:t>
      </w:r>
    </w:p>
    <w:p w14:paraId="26035741" w14:textId="77777777" w:rsidR="004154E0" w:rsidRDefault="004154E0" w:rsidP="001A6A26">
      <w:pPr>
        <w:spacing w:after="0"/>
      </w:pPr>
      <w:r>
        <w:t>Oznaka razine: 31</w:t>
      </w:r>
    </w:p>
    <w:p w14:paraId="69371B26" w14:textId="77777777" w:rsidR="004154E0" w:rsidRDefault="004154E0" w:rsidP="001A6A26">
      <w:pPr>
        <w:spacing w:after="0"/>
      </w:pPr>
      <w:r>
        <w:t>Šifra djelatnosti: 8531</w:t>
      </w:r>
    </w:p>
    <w:p w14:paraId="02196609" w14:textId="77777777" w:rsidR="004154E0" w:rsidRDefault="004154E0" w:rsidP="001A6A26">
      <w:pPr>
        <w:spacing w:after="0"/>
      </w:pPr>
      <w:r>
        <w:t>Razdjel: 000</w:t>
      </w:r>
    </w:p>
    <w:p w14:paraId="236C29F5" w14:textId="77777777" w:rsidR="004154E0" w:rsidRDefault="004154E0" w:rsidP="001A6A26">
      <w:pPr>
        <w:spacing w:after="0"/>
      </w:pPr>
      <w:r>
        <w:t>Šifra županije/grada/općine: 396</w:t>
      </w:r>
    </w:p>
    <w:p w14:paraId="079268D0" w14:textId="77777777" w:rsidR="004154E0" w:rsidRDefault="004154E0" w:rsidP="001A6A26">
      <w:pPr>
        <w:spacing w:after="0"/>
      </w:pPr>
      <w:r>
        <w:t>Žiro račun: Brodsko-posavska županija</w:t>
      </w:r>
    </w:p>
    <w:p w14:paraId="16CB9EA6" w14:textId="77777777" w:rsidR="004154E0" w:rsidRDefault="004154E0" w:rsidP="004154E0"/>
    <w:p w14:paraId="1C920ACB" w14:textId="0BB96D12" w:rsidR="0098677A" w:rsidRDefault="004154E0" w:rsidP="004154E0">
      <w:r>
        <w:t xml:space="preserve">Godišnji financijski izvještaji Gimnazije „Matija Mesić“ sastavljeni su nakon što su proknjižene sve poslovne promjene, događaji i transakcije za razdoblje siječanj – prosinac </w:t>
      </w:r>
      <w:r w:rsidR="005A7C2C">
        <w:t>202</w:t>
      </w:r>
      <w:r w:rsidR="001F67C3">
        <w:t>1</w:t>
      </w:r>
      <w:r w:rsidR="006B4C63">
        <w:t>.</w:t>
      </w:r>
      <w:r>
        <w:t xml:space="preserve">, nakon što su knjiženja obavljena pravilno i ažurno temeljem vjerodostojne knjigovodstvene dokumentacije prema propisanom </w:t>
      </w:r>
      <w:r w:rsidR="001F67C3">
        <w:t>R</w:t>
      </w:r>
      <w:r>
        <w:t>ačunskom planu i u skladu s financijskim planom odobrenim od nadležnih tijela. Izvještaji su sastavljeni i predat će se prema odredbama Pravilnika o financijskom izvještavanju u proračunskom računovodstvu (Narodne novine br. 03/1</w:t>
      </w:r>
      <w:r w:rsidR="005A7C2C">
        <w:t xml:space="preserve">5, 93/15, 135/15, 2/17, 28/17, </w:t>
      </w:r>
      <w:r>
        <w:t>112/18</w:t>
      </w:r>
      <w:r w:rsidR="00B8178B">
        <w:t xml:space="preserve">, </w:t>
      </w:r>
      <w:r w:rsidR="005A7C2C">
        <w:t>126/19</w:t>
      </w:r>
      <w:r w:rsidR="00B8178B">
        <w:t>, 145/20 i 32/21</w:t>
      </w:r>
      <w:r>
        <w:t xml:space="preserve">) u </w:t>
      </w:r>
      <w:r w:rsidR="00874584">
        <w:t>zakonom</w:t>
      </w:r>
      <w:r>
        <w:t xml:space="preserve"> određenim rokovima što za proračunske korisnike jedinica lokalne i područne</w:t>
      </w:r>
      <w:r w:rsidR="005A7C2C">
        <w:t xml:space="preserve"> samouprave znači predaju do </w:t>
      </w:r>
      <w:r w:rsidR="001F67C3">
        <w:t>31</w:t>
      </w:r>
      <w:r w:rsidR="005A7C2C">
        <w:t xml:space="preserve">. </w:t>
      </w:r>
      <w:r w:rsidR="001F67C3">
        <w:t>siječnja</w:t>
      </w:r>
      <w:r w:rsidR="005A7C2C">
        <w:t xml:space="preserve"> 202</w:t>
      </w:r>
      <w:r w:rsidR="001F67C3">
        <w:t>2</w:t>
      </w:r>
      <w:r>
        <w:t xml:space="preserve">. godine. </w:t>
      </w:r>
      <w:r w:rsidR="005A7C2C">
        <w:t>Sukladno čl. 4. navedenog Pravilnika, z</w:t>
      </w:r>
      <w:r>
        <w:t>a sastavljanje</w:t>
      </w:r>
      <w:r w:rsidR="005A7C2C">
        <w:t xml:space="preserve"> financijskih izvještaja odgovorna je voditeljica računovodstva Irena Zmaić </w:t>
      </w:r>
      <w:proofErr w:type="spellStart"/>
      <w:r w:rsidR="005A7C2C">
        <w:t>Čarapina</w:t>
      </w:r>
      <w:proofErr w:type="spellEnd"/>
      <w:r w:rsidR="005A7C2C">
        <w:t xml:space="preserve">, </w:t>
      </w:r>
      <w:proofErr w:type="spellStart"/>
      <w:r w:rsidR="005A7C2C">
        <w:t>dipl.oec</w:t>
      </w:r>
      <w:proofErr w:type="spellEnd"/>
      <w:r w:rsidR="005A7C2C">
        <w:t xml:space="preserve">., dok odgovorna osoba škole, </w:t>
      </w:r>
      <w:r w:rsidR="008E7676">
        <w:t xml:space="preserve">ravnateljica Lucija </w:t>
      </w:r>
      <w:proofErr w:type="spellStart"/>
      <w:r w:rsidR="008E7676">
        <w:t>Brnić</w:t>
      </w:r>
      <w:proofErr w:type="spellEnd"/>
      <w:r w:rsidR="008E7676">
        <w:t>, dipl. pedagog</w:t>
      </w:r>
      <w:r w:rsidR="005A7C2C">
        <w:t xml:space="preserve"> potpisuje financijske izvještaje i odgovorna je za predaju istih. </w:t>
      </w:r>
    </w:p>
    <w:p w14:paraId="29B4C1F9" w14:textId="77777777" w:rsidR="00494FF0" w:rsidRPr="001A6A26" w:rsidRDefault="00494FF0" w:rsidP="001A6A26">
      <w:pPr>
        <w:jc w:val="center"/>
        <w:rPr>
          <w:b/>
        </w:rPr>
      </w:pPr>
      <w:r w:rsidRPr="001A6A26">
        <w:rPr>
          <w:b/>
        </w:rPr>
        <w:t>Bilješke uz Obrazac BILANCA</w:t>
      </w:r>
    </w:p>
    <w:p w14:paraId="23FCCED0" w14:textId="75660C7A" w:rsidR="00CD31AE" w:rsidRDefault="00CD31AE" w:rsidP="004154E0">
      <w:r>
        <w:rPr>
          <w:b/>
        </w:rPr>
        <w:t xml:space="preserve">Bilješka broj 1 – AOP 002 – Nefinancijska imovina – Usporedbom stanja imovine na početku i kraju razdoblja </w:t>
      </w:r>
      <w:r>
        <w:t xml:space="preserve">vrijednost ukupne nefinancijske imovine smanjena je za 3,9%. Riječ je provođenju redovnog godišnjeg ispravka vrijednosti nefinancijske imovine po propisanim stopama linearnom metodom, a koji je vrijednosno veći od ulaganja u istu. </w:t>
      </w:r>
    </w:p>
    <w:p w14:paraId="7C8D15A1" w14:textId="4FE5FEE3" w:rsidR="00CD31AE" w:rsidRDefault="002400A4" w:rsidP="004154E0">
      <w:r w:rsidRPr="00475063">
        <w:rPr>
          <w:b/>
        </w:rPr>
        <w:t>Bilješka broj 2</w:t>
      </w:r>
      <w:r w:rsidR="00CD31AE" w:rsidRPr="00475063">
        <w:rPr>
          <w:b/>
        </w:rPr>
        <w:t xml:space="preserve"> – AOP 030 – Knjige, umjetnička djela i ostale izložbene vrijednosti</w:t>
      </w:r>
      <w:r w:rsidR="00CD31AE">
        <w:t xml:space="preserve"> – Gimnazija Matija Mesić u svojim poslovnim knjigama ima evidentiranje knjige u knjižnicama. Nakon provedenog ispravka vrijednosti knjiga u knjižnici vrijednost knjiga je smanjena</w:t>
      </w:r>
      <w:r w:rsidR="00170F5B">
        <w:t xml:space="preserve"> za 51,6%</w:t>
      </w:r>
      <w:r w:rsidR="00CD31AE">
        <w:t xml:space="preserve"> obzirom na smanjeno ulaganje u knjige</w:t>
      </w:r>
      <w:r w:rsidR="00170F5B">
        <w:t xml:space="preserve"> u knjižnici. </w:t>
      </w:r>
    </w:p>
    <w:p w14:paraId="423918B2" w14:textId="457034A3" w:rsidR="00170F5B" w:rsidRPr="00CD31AE" w:rsidRDefault="00170F5B" w:rsidP="004154E0">
      <w:r w:rsidRPr="00475063">
        <w:rPr>
          <w:b/>
        </w:rPr>
        <w:t xml:space="preserve">Bilješka broj </w:t>
      </w:r>
      <w:r w:rsidR="002400A4" w:rsidRPr="00475063">
        <w:rPr>
          <w:b/>
        </w:rPr>
        <w:t xml:space="preserve">3 </w:t>
      </w:r>
      <w:r w:rsidRPr="00475063">
        <w:rPr>
          <w:b/>
        </w:rPr>
        <w:t>– AOP 049 – Sitni inventar i auto gume</w:t>
      </w:r>
      <w:r>
        <w:t xml:space="preserve"> – Kada govorimo o ulaganjima u nefinancijsku imovinu, sitni inventar kao posebna kategorija nefinancijske imovine bilježi najveće ulaganje i to od 11,4%. Nabava sitnog inventara (defibrilatora, stolica, printera i sl.) financiranja je iz decentraliziranih sredstava i vlastitih prihoda koji su ostvareni od zakupa školskog prostora.</w:t>
      </w:r>
    </w:p>
    <w:p w14:paraId="16823817" w14:textId="3CB64DC9" w:rsidR="00681BD0" w:rsidRDefault="002400A4" w:rsidP="004154E0">
      <w:r>
        <w:rPr>
          <w:b/>
        </w:rPr>
        <w:lastRenderedPageBreak/>
        <w:t>Bilješka broj 4</w:t>
      </w:r>
      <w:r w:rsidR="00681BD0" w:rsidRPr="001A6A26">
        <w:rPr>
          <w:b/>
        </w:rPr>
        <w:t xml:space="preserve"> – AOP 0</w:t>
      </w:r>
      <w:r w:rsidR="00097027" w:rsidRPr="001A6A26">
        <w:rPr>
          <w:b/>
        </w:rPr>
        <w:t>73</w:t>
      </w:r>
      <w:r w:rsidR="00681BD0" w:rsidRPr="001A6A26">
        <w:rPr>
          <w:b/>
        </w:rPr>
        <w:t xml:space="preserve"> – </w:t>
      </w:r>
      <w:r w:rsidR="00097027" w:rsidRPr="001A6A26">
        <w:rPr>
          <w:b/>
        </w:rPr>
        <w:t xml:space="preserve">Depoziti, </w:t>
      </w:r>
      <w:proofErr w:type="spellStart"/>
      <w:r w:rsidR="00097027" w:rsidRPr="001A6A26">
        <w:rPr>
          <w:b/>
        </w:rPr>
        <w:t>jamčevni</w:t>
      </w:r>
      <w:proofErr w:type="spellEnd"/>
      <w:r w:rsidR="00097027" w:rsidRPr="001A6A26">
        <w:rPr>
          <w:b/>
        </w:rPr>
        <w:t xml:space="preserve"> </w:t>
      </w:r>
      <w:proofErr w:type="spellStart"/>
      <w:r w:rsidR="00097027" w:rsidRPr="001A6A26">
        <w:rPr>
          <w:b/>
        </w:rPr>
        <w:t>polozi</w:t>
      </w:r>
      <w:proofErr w:type="spellEnd"/>
      <w:r w:rsidR="00097027" w:rsidRPr="001A6A26">
        <w:rPr>
          <w:b/>
        </w:rPr>
        <w:t xml:space="preserve"> i potraživanja od zaposlenih te za više plaćene poreze i ostalo</w:t>
      </w:r>
      <w:r w:rsidR="00097027">
        <w:t xml:space="preserve"> -</w:t>
      </w:r>
      <w:r w:rsidR="00681BD0">
        <w:t xml:space="preserve"> Vrijednost ostalih po</w:t>
      </w:r>
      <w:r w:rsidR="007C7960">
        <w:t xml:space="preserve">traživanja povećana je za </w:t>
      </w:r>
      <w:r w:rsidR="00CD31AE">
        <w:t>17,7</w:t>
      </w:r>
      <w:r w:rsidR="00097027">
        <w:t>%</w:t>
      </w:r>
      <w:r w:rsidR="00681BD0">
        <w:t xml:space="preserve"> </w:t>
      </w:r>
      <w:r w:rsidR="00813177">
        <w:t xml:space="preserve"> i odnosi se na potraživ</w:t>
      </w:r>
      <w:r w:rsidR="00916F98">
        <w:t>anja za bolovanja preko HZZO-a</w:t>
      </w:r>
      <w:r w:rsidR="00CD31AE">
        <w:t xml:space="preserve"> za 2021</w:t>
      </w:r>
      <w:r w:rsidR="007C7960">
        <w:t>.g. koja nisu zatvorena.</w:t>
      </w:r>
      <w:r w:rsidR="00CD31AE">
        <w:t xml:space="preserve"> Posljednje zatvaranje potraživa</w:t>
      </w:r>
      <w:r w:rsidR="00475063">
        <w:t>nja prema HZZO-u provedeno je s</w:t>
      </w:r>
      <w:r w:rsidR="00CD31AE">
        <w:t xml:space="preserve"> </w:t>
      </w:r>
      <w:r w:rsidR="00475063">
        <w:t>datumom 10. travanj</w:t>
      </w:r>
      <w:r w:rsidR="00CD31AE">
        <w:t xml:space="preserve"> 2020. godine (sukladno Uputi o zatvaranju potra</w:t>
      </w:r>
      <w:r w:rsidR="00475063">
        <w:t>živanja od HZZO-a i smanjenju</w:t>
      </w:r>
      <w:r w:rsidR="00CD31AE">
        <w:t xml:space="preserve"> obveze prema Državnoj riznici od 29. prosinca 2021.g.)</w:t>
      </w:r>
    </w:p>
    <w:p w14:paraId="6C9FABBD" w14:textId="38D2EC77" w:rsidR="00EA1EBD" w:rsidRDefault="00153549" w:rsidP="004154E0">
      <w:r>
        <w:rPr>
          <w:b/>
        </w:rPr>
        <w:t>Bilješ</w:t>
      </w:r>
      <w:r w:rsidR="002400A4">
        <w:rPr>
          <w:b/>
        </w:rPr>
        <w:t>ka broj 5</w:t>
      </w:r>
      <w:r w:rsidR="00057696" w:rsidRPr="001A6A26">
        <w:rPr>
          <w:b/>
        </w:rPr>
        <w:t xml:space="preserve"> -  </w:t>
      </w:r>
      <w:r w:rsidR="00097027" w:rsidRPr="001A6A26">
        <w:rPr>
          <w:b/>
        </w:rPr>
        <w:t xml:space="preserve">AOP </w:t>
      </w:r>
      <w:r w:rsidR="00D14306">
        <w:rPr>
          <w:b/>
        </w:rPr>
        <w:t>15</w:t>
      </w:r>
      <w:r w:rsidR="00170F5B">
        <w:rPr>
          <w:b/>
        </w:rPr>
        <w:t xml:space="preserve">6 </w:t>
      </w:r>
      <w:r w:rsidR="00097027" w:rsidRPr="001A6A26">
        <w:rPr>
          <w:b/>
        </w:rPr>
        <w:t>P</w:t>
      </w:r>
      <w:r w:rsidR="008C1A18" w:rsidRPr="001A6A26">
        <w:rPr>
          <w:b/>
        </w:rPr>
        <w:t>otraž</w:t>
      </w:r>
      <w:r w:rsidR="00EA1EBD" w:rsidRPr="001A6A26">
        <w:rPr>
          <w:b/>
        </w:rPr>
        <w:t>ivanja za prihode iz proračuna</w:t>
      </w:r>
      <w:r w:rsidR="00097027">
        <w:t xml:space="preserve"> – navedena potraživanja predstavljaju stanje </w:t>
      </w:r>
      <w:proofErr w:type="spellStart"/>
      <w:r w:rsidR="00097027">
        <w:t>podračuna</w:t>
      </w:r>
      <w:proofErr w:type="spellEnd"/>
      <w:r w:rsidR="00097027">
        <w:t xml:space="preserve"> u županijskoj riznici koje iznosi </w:t>
      </w:r>
      <w:r w:rsidR="00170F5B">
        <w:t>309.728,00</w:t>
      </w:r>
      <w:r w:rsidR="001A6A26">
        <w:t xml:space="preserve"> </w:t>
      </w:r>
      <w:r w:rsidR="00097027">
        <w:t>kn</w:t>
      </w:r>
      <w:r w:rsidR="00475063">
        <w:t>, a</w:t>
      </w:r>
      <w:r w:rsidR="00097027">
        <w:t xml:space="preserve"> </w:t>
      </w:r>
      <w:r w:rsidR="00D14306">
        <w:t>koje je raspoloživo u sljedećem razdoblju. S</w:t>
      </w:r>
      <w:r w:rsidR="00097027">
        <w:t xml:space="preserve">učeljavanjem </w:t>
      </w:r>
      <w:r w:rsidR="00D14306">
        <w:t>navedenih sredstava s raspoloživim sredst</w:t>
      </w:r>
      <w:r w:rsidR="00170F5B">
        <w:t>vima iz EU projekata (187.692,00</w:t>
      </w:r>
      <w:r w:rsidR="002F2F1E">
        <w:t xml:space="preserve"> kn na AOP-u 152</w:t>
      </w:r>
      <w:r w:rsidR="00D14306">
        <w:t xml:space="preserve">) </w:t>
      </w:r>
      <w:r w:rsidR="00097027">
        <w:t>dolazimo do iznosa</w:t>
      </w:r>
      <w:r w:rsidR="00D14306">
        <w:t xml:space="preserve"> od </w:t>
      </w:r>
      <w:r w:rsidR="002F2F1E">
        <w:t>497.420,00</w:t>
      </w:r>
      <w:r w:rsidR="00D14306">
        <w:t xml:space="preserve"> kn</w:t>
      </w:r>
      <w:r w:rsidR="00097027">
        <w:t xml:space="preserve"> raspoloživog u budućem razdoblju </w:t>
      </w:r>
      <w:r w:rsidR="00813177">
        <w:t>koji</w:t>
      </w:r>
      <w:r w:rsidR="00097027">
        <w:t xml:space="preserve"> će se koristiti u daljnjoj analizi </w:t>
      </w:r>
      <w:r w:rsidR="00883B8D">
        <w:t xml:space="preserve">financijskog rezultata </w:t>
      </w:r>
      <w:r w:rsidR="00097027">
        <w:t xml:space="preserve">u sklopu bilješki uz obrazac PR-RAS. </w:t>
      </w:r>
    </w:p>
    <w:p w14:paraId="448C66EC" w14:textId="501EB4BD" w:rsidR="00D1738B" w:rsidRDefault="002400A4" w:rsidP="004154E0">
      <w:r>
        <w:rPr>
          <w:b/>
        </w:rPr>
        <w:t>Bilješka broj 6</w:t>
      </w:r>
      <w:r w:rsidR="00D14306">
        <w:rPr>
          <w:b/>
        </w:rPr>
        <w:t xml:space="preserve"> - </w:t>
      </w:r>
      <w:r w:rsidR="008C1A18" w:rsidRPr="001A6A26">
        <w:rPr>
          <w:b/>
        </w:rPr>
        <w:t xml:space="preserve">Obvezna bilješka uz Bilancu </w:t>
      </w:r>
      <w:r w:rsidR="00B713B1">
        <w:rPr>
          <w:b/>
        </w:rPr>
        <w:t xml:space="preserve">sukladno čl.14. Pravilnika o financijskom izvještavanju u proračunskom računovodstvu </w:t>
      </w:r>
      <w:r w:rsidR="008C1A18" w:rsidRPr="00D14306">
        <w:t>–</w:t>
      </w:r>
      <w:r w:rsidR="00D14306" w:rsidRPr="00D14306">
        <w:t xml:space="preserve"> </w:t>
      </w:r>
      <w:r w:rsidR="000B6A38">
        <w:t xml:space="preserve">sukladno obveznoj pomoćnoj analitičkoj evidenciji potencijalnih </w:t>
      </w:r>
      <w:r w:rsidR="00CA0894" w:rsidRPr="00CA0894">
        <w:t>obveza po osnovi sudskih sporova u tijeku</w:t>
      </w:r>
      <w:r w:rsidR="00475063">
        <w:t xml:space="preserve"> koju propisuje</w:t>
      </w:r>
      <w:r w:rsidR="00CA0894">
        <w:t xml:space="preserve"> čl. 7. st. 5. Pravilnika o proračunskom računovodstvu i Računskom planu,</w:t>
      </w:r>
      <w:r w:rsidR="00FF50F9">
        <w:t xml:space="preserve"> </w:t>
      </w:r>
      <w:r w:rsidR="002F2F1E">
        <w:t xml:space="preserve">a koja je </w:t>
      </w:r>
      <w:r w:rsidR="00475063">
        <w:t>obuhvaćena</w:t>
      </w:r>
      <w:r w:rsidR="002F2F1E">
        <w:t xml:space="preserve"> i</w:t>
      </w:r>
      <w:r w:rsidR="00FF50F9">
        <w:t xml:space="preserve"> redovnim godišnjim popisom imovine i obveza (prema čl. </w:t>
      </w:r>
      <w:r w:rsidR="008E7676">
        <w:t>14. st.3. Pravilnika o proračunskom računovodstvu)</w:t>
      </w:r>
      <w:r w:rsidR="00861BDD">
        <w:t xml:space="preserve"> daje se</w:t>
      </w:r>
      <w:r w:rsidR="00CA0894">
        <w:t xml:space="preserve"> p</w:t>
      </w:r>
      <w:r w:rsidR="00D14306" w:rsidRPr="00D14306">
        <w:t>opis sudskih sporova u tijeku</w:t>
      </w:r>
      <w:r w:rsidR="00883B8D">
        <w:t xml:space="preserve"> 202</w:t>
      </w:r>
      <w:r w:rsidR="00CA0894">
        <w:t>1</w:t>
      </w:r>
      <w:r w:rsidR="00883B8D">
        <w:t>.g.</w:t>
      </w:r>
      <w:r w:rsidR="00861BDD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"/>
        <w:gridCol w:w="3007"/>
        <w:gridCol w:w="1812"/>
        <w:gridCol w:w="1813"/>
        <w:gridCol w:w="1813"/>
      </w:tblGrid>
      <w:tr w:rsidR="00D14306" w14:paraId="348459A2" w14:textId="77777777" w:rsidTr="00645267">
        <w:tc>
          <w:tcPr>
            <w:tcW w:w="617" w:type="dxa"/>
            <w:vMerge w:val="restart"/>
          </w:tcPr>
          <w:p w14:paraId="59554FEA" w14:textId="77777777" w:rsidR="00D14306" w:rsidRDefault="00D14306" w:rsidP="00645267">
            <w:r>
              <w:t>Red. Br.</w:t>
            </w:r>
          </w:p>
        </w:tc>
        <w:tc>
          <w:tcPr>
            <w:tcW w:w="3007" w:type="dxa"/>
            <w:vMerge w:val="restart"/>
          </w:tcPr>
          <w:p w14:paraId="38E7983A" w14:textId="77777777" w:rsidR="00D14306" w:rsidRDefault="00D14306" w:rsidP="00645267">
            <w:r>
              <w:t>Opis prirode spora</w:t>
            </w:r>
          </w:p>
        </w:tc>
        <w:tc>
          <w:tcPr>
            <w:tcW w:w="3625" w:type="dxa"/>
            <w:gridSpan w:val="2"/>
          </w:tcPr>
          <w:p w14:paraId="27C7C935" w14:textId="77777777" w:rsidR="00D14306" w:rsidRDefault="00D14306" w:rsidP="00645267">
            <w:r>
              <w:t>Procjena financijskog učinka</w:t>
            </w:r>
          </w:p>
        </w:tc>
        <w:tc>
          <w:tcPr>
            <w:tcW w:w="1813" w:type="dxa"/>
            <w:vMerge w:val="restart"/>
          </w:tcPr>
          <w:p w14:paraId="367EAB74" w14:textId="77777777" w:rsidR="00D14306" w:rsidRDefault="00D14306" w:rsidP="00645267">
            <w:r>
              <w:t>Procijenjeno vrijeme odljeva/priljeva sredstava</w:t>
            </w:r>
          </w:p>
        </w:tc>
      </w:tr>
      <w:tr w:rsidR="00D14306" w14:paraId="779D57F9" w14:textId="77777777" w:rsidTr="00645267">
        <w:tc>
          <w:tcPr>
            <w:tcW w:w="617" w:type="dxa"/>
            <w:vMerge/>
          </w:tcPr>
          <w:p w14:paraId="546F632F" w14:textId="77777777" w:rsidR="00D14306" w:rsidRDefault="00D14306" w:rsidP="00645267"/>
        </w:tc>
        <w:tc>
          <w:tcPr>
            <w:tcW w:w="3007" w:type="dxa"/>
            <w:vMerge/>
          </w:tcPr>
          <w:p w14:paraId="503CD8EA" w14:textId="77777777" w:rsidR="00D14306" w:rsidRDefault="00D14306" w:rsidP="00645267"/>
        </w:tc>
        <w:tc>
          <w:tcPr>
            <w:tcW w:w="1812" w:type="dxa"/>
          </w:tcPr>
          <w:p w14:paraId="495A76DA" w14:textId="77777777" w:rsidR="00D14306" w:rsidRDefault="00D14306" w:rsidP="00645267">
            <w:r>
              <w:t>Obveza</w:t>
            </w:r>
          </w:p>
        </w:tc>
        <w:tc>
          <w:tcPr>
            <w:tcW w:w="1813" w:type="dxa"/>
          </w:tcPr>
          <w:p w14:paraId="2E8E6DFA" w14:textId="77777777" w:rsidR="00D14306" w:rsidRDefault="00D14306" w:rsidP="00645267">
            <w:r>
              <w:t>Imovina</w:t>
            </w:r>
          </w:p>
        </w:tc>
        <w:tc>
          <w:tcPr>
            <w:tcW w:w="1813" w:type="dxa"/>
            <w:vMerge/>
          </w:tcPr>
          <w:p w14:paraId="291DCF10" w14:textId="77777777" w:rsidR="00D14306" w:rsidRDefault="00D14306" w:rsidP="00645267"/>
        </w:tc>
      </w:tr>
      <w:tr w:rsidR="00D14306" w14:paraId="2D1415F5" w14:textId="77777777" w:rsidTr="00645267">
        <w:tc>
          <w:tcPr>
            <w:tcW w:w="617" w:type="dxa"/>
          </w:tcPr>
          <w:p w14:paraId="6A44F061" w14:textId="77777777" w:rsidR="00D14306" w:rsidRDefault="00D14306" w:rsidP="00645267">
            <w:r>
              <w:t>1.</w:t>
            </w:r>
          </w:p>
        </w:tc>
        <w:tc>
          <w:tcPr>
            <w:tcW w:w="3007" w:type="dxa"/>
          </w:tcPr>
          <w:p w14:paraId="71C69C11" w14:textId="629533B1" w:rsidR="00D14306" w:rsidRDefault="00D14306" w:rsidP="002F2F1E">
            <w:r>
              <w:t xml:space="preserve">Tužba </w:t>
            </w:r>
            <w:r w:rsidR="002F2F1E">
              <w:t xml:space="preserve">za radi isplate razlike plaće </w:t>
            </w:r>
          </w:p>
        </w:tc>
        <w:tc>
          <w:tcPr>
            <w:tcW w:w="1812" w:type="dxa"/>
          </w:tcPr>
          <w:p w14:paraId="6B5E286B" w14:textId="0714463F" w:rsidR="00D14306" w:rsidRDefault="00D1279F" w:rsidP="00D14306">
            <w:pPr>
              <w:jc w:val="right"/>
            </w:pPr>
            <w:r>
              <w:t>254.988,42</w:t>
            </w:r>
          </w:p>
        </w:tc>
        <w:tc>
          <w:tcPr>
            <w:tcW w:w="1813" w:type="dxa"/>
          </w:tcPr>
          <w:p w14:paraId="16416E9C" w14:textId="77777777" w:rsidR="00D14306" w:rsidRDefault="00D14306" w:rsidP="00645267"/>
        </w:tc>
        <w:tc>
          <w:tcPr>
            <w:tcW w:w="1813" w:type="dxa"/>
          </w:tcPr>
          <w:p w14:paraId="673D1323" w14:textId="334C1EEC" w:rsidR="00D14306" w:rsidRDefault="00D14306" w:rsidP="00645267"/>
        </w:tc>
      </w:tr>
    </w:tbl>
    <w:p w14:paraId="769B3596" w14:textId="77777777" w:rsidR="006A3A41" w:rsidRDefault="006A3A41" w:rsidP="004154E0"/>
    <w:p w14:paraId="3B63B6AD" w14:textId="76683B7A" w:rsidR="006A3A41" w:rsidRPr="00D14306" w:rsidRDefault="00861BDD" w:rsidP="004154E0">
      <w:r>
        <w:t>Osim p</w:t>
      </w:r>
      <w:r w:rsidR="006A3A41">
        <w:t>otencijaln</w:t>
      </w:r>
      <w:r>
        <w:t>ih</w:t>
      </w:r>
      <w:r w:rsidR="006A3A41">
        <w:t xml:space="preserve"> obvez</w:t>
      </w:r>
      <w:r>
        <w:t>a</w:t>
      </w:r>
      <w:r w:rsidR="006A3A41">
        <w:t xml:space="preserve"> po sudskim sporovima u tijeku</w:t>
      </w:r>
      <w:r>
        <w:t xml:space="preserve">, </w:t>
      </w:r>
      <w:r w:rsidR="006A3A41">
        <w:t xml:space="preserve"> </w:t>
      </w:r>
      <w:proofErr w:type="spellStart"/>
      <w:r>
        <w:t>i</w:t>
      </w:r>
      <w:r w:rsidR="006A3A41">
        <w:t>zvanbilančni</w:t>
      </w:r>
      <w:proofErr w:type="spellEnd"/>
      <w:r w:rsidR="006A3A41">
        <w:t xml:space="preserve"> zapis</w:t>
      </w:r>
      <w:r>
        <w:t>i</w:t>
      </w:r>
      <w:r w:rsidR="00475063">
        <w:t xml:space="preserve"> (AOP-253, 254</w:t>
      </w:r>
      <w:r w:rsidR="006A3A41">
        <w:t xml:space="preserve"> </w:t>
      </w:r>
      <w:proofErr w:type="spellStart"/>
      <w:r w:rsidR="006A3A41">
        <w:t>Izvanbilančni</w:t>
      </w:r>
      <w:proofErr w:type="spellEnd"/>
      <w:r w:rsidR="006A3A41">
        <w:t xml:space="preserve"> zapisi) sadrže i vrijednost tuđe imovine dobivene na korištenje.</w:t>
      </w:r>
    </w:p>
    <w:p w14:paraId="7B63D5FF" w14:textId="77777777" w:rsidR="00D1738B" w:rsidRPr="0098677A" w:rsidRDefault="00D1738B" w:rsidP="0098677A">
      <w:pPr>
        <w:jc w:val="center"/>
        <w:rPr>
          <w:b/>
        </w:rPr>
      </w:pPr>
      <w:r w:rsidRPr="001A6A26">
        <w:rPr>
          <w:b/>
        </w:rPr>
        <w:t>Bilješke uz Obrazac PR-RAS</w:t>
      </w:r>
    </w:p>
    <w:p w14:paraId="40159EF5" w14:textId="0A4B1230" w:rsidR="00D1738B" w:rsidRDefault="00D1738B" w:rsidP="004154E0">
      <w:r>
        <w:t xml:space="preserve">Sukladno Zakonu o proračunu </w:t>
      </w:r>
      <w:r w:rsidR="002F2F1E">
        <w:t xml:space="preserve">(Nar. nov., br. 144/21) </w:t>
      </w:r>
      <w:r>
        <w:t xml:space="preserve">škola je uplaćivala namjenske i vlastite prihode u proračun Brodsko-posavske županije, evidentirala </w:t>
      </w:r>
      <w:r w:rsidR="00125D78">
        <w:t xml:space="preserve">ih </w:t>
      </w:r>
      <w:r>
        <w:t xml:space="preserve">u svojoj glavnoj knjizi na osnovnim računima </w:t>
      </w:r>
      <w:r w:rsidR="00B3500D">
        <w:t>R</w:t>
      </w:r>
      <w:r>
        <w:t>ačunskog plana sukladno vrsti ostvarenih prihoda</w:t>
      </w:r>
      <w:r w:rsidR="00B3500D">
        <w:t xml:space="preserve">, a </w:t>
      </w:r>
      <w:r>
        <w:t xml:space="preserve">županijska </w:t>
      </w:r>
      <w:r w:rsidR="00B3500D">
        <w:t xml:space="preserve">je </w:t>
      </w:r>
      <w:r>
        <w:t>riznica osigurala knjigovodstveni dokument na temelju</w:t>
      </w:r>
      <w:r w:rsidR="0098677A">
        <w:t xml:space="preserve"> kojeg su provedena knjiženja. </w:t>
      </w:r>
    </w:p>
    <w:p w14:paraId="187FF8A5" w14:textId="7597F66C" w:rsidR="00A65B09" w:rsidRPr="002C595F" w:rsidRDefault="002400A4" w:rsidP="004154E0">
      <w:r>
        <w:rPr>
          <w:b/>
        </w:rPr>
        <w:t>Bilješka broj 7</w:t>
      </w:r>
      <w:r w:rsidR="009814F0">
        <w:rPr>
          <w:b/>
        </w:rPr>
        <w:t xml:space="preserve"> – AOP 112</w:t>
      </w:r>
      <w:r w:rsidR="00A65B09" w:rsidRPr="002C595F">
        <w:rPr>
          <w:b/>
        </w:rPr>
        <w:t xml:space="preserve"> – </w:t>
      </w:r>
      <w:r w:rsidR="009814F0">
        <w:rPr>
          <w:b/>
        </w:rPr>
        <w:t>Ostali nespomenuti prihodi</w:t>
      </w:r>
      <w:r w:rsidR="00A65B09" w:rsidRPr="002C595F">
        <w:rPr>
          <w:b/>
        </w:rPr>
        <w:t xml:space="preserve"> – </w:t>
      </w:r>
      <w:r w:rsidR="009814F0">
        <w:t>U 2021</w:t>
      </w:r>
      <w:r w:rsidR="00A65B09" w:rsidRPr="002C595F">
        <w:t xml:space="preserve">.g. ostvareno je </w:t>
      </w:r>
      <w:r w:rsidR="009814F0">
        <w:t>48,5% više ostalih nespomenutih prihoda u odnosu na prošlu godinu. Najznačajnijim dijelom riječ je o refundacijama troškova službenih</w:t>
      </w:r>
      <w:r w:rsidR="00475063">
        <w:t xml:space="preserve"> putovanja koja su povećana u odnosu na prethodnu godinu </w:t>
      </w:r>
      <w:r w:rsidR="009814F0">
        <w:t xml:space="preserve">zbog </w:t>
      </w:r>
      <w:proofErr w:type="spellStart"/>
      <w:r w:rsidR="009814F0">
        <w:t>pandemije</w:t>
      </w:r>
      <w:proofErr w:type="spellEnd"/>
      <w:r w:rsidR="009814F0">
        <w:t>.</w:t>
      </w:r>
    </w:p>
    <w:p w14:paraId="00728B0A" w14:textId="57893E8E" w:rsidR="00991D15" w:rsidRPr="009814F0" w:rsidRDefault="009814F0" w:rsidP="004154E0">
      <w:r>
        <w:rPr>
          <w:b/>
        </w:rPr>
        <w:t xml:space="preserve">Bilješka broj </w:t>
      </w:r>
      <w:r w:rsidR="002400A4">
        <w:rPr>
          <w:b/>
        </w:rPr>
        <w:t>8</w:t>
      </w:r>
      <w:r>
        <w:rPr>
          <w:b/>
        </w:rPr>
        <w:t xml:space="preserve"> - AOP 124 – Tekuće donacije – </w:t>
      </w:r>
      <w:r w:rsidRPr="009814F0">
        <w:t>U 2021. godini zabilježeno je povećanje od 29% u odnosu na prošlu godinu, a razlog povećanja je veći broj ekskurzija koje se financiraju iz donacija.</w:t>
      </w:r>
    </w:p>
    <w:p w14:paraId="3332FBCC" w14:textId="4731B117" w:rsidR="009814F0" w:rsidRPr="009814F0" w:rsidRDefault="009814F0" w:rsidP="004154E0">
      <w:r>
        <w:rPr>
          <w:b/>
        </w:rPr>
        <w:t xml:space="preserve">Bilješka broj </w:t>
      </w:r>
      <w:r w:rsidR="002400A4">
        <w:rPr>
          <w:b/>
        </w:rPr>
        <w:t>9</w:t>
      </w:r>
      <w:r>
        <w:rPr>
          <w:b/>
        </w:rPr>
        <w:t xml:space="preserve"> - AOP 151 – Plaće za prekovremeni rad – </w:t>
      </w:r>
      <w:r w:rsidRPr="009814F0">
        <w:t xml:space="preserve">Plaće za prekovremeni rad povećane su uslijed većeg broja sati dežurstava subotom, a što je bilo prvotno smanjeno zbog </w:t>
      </w:r>
      <w:proofErr w:type="spellStart"/>
      <w:r w:rsidRPr="009814F0">
        <w:t>pandemije</w:t>
      </w:r>
      <w:proofErr w:type="spellEnd"/>
      <w:r w:rsidRPr="009814F0">
        <w:t xml:space="preserve"> u 2020.g.</w:t>
      </w:r>
    </w:p>
    <w:p w14:paraId="2CB552B0" w14:textId="013AD65B" w:rsidR="00991D15" w:rsidRPr="002C595F" w:rsidRDefault="002400A4" w:rsidP="004154E0">
      <w:r>
        <w:rPr>
          <w:b/>
        </w:rPr>
        <w:t>Bilješka broj 10</w:t>
      </w:r>
      <w:r w:rsidR="00991D15" w:rsidRPr="002C595F">
        <w:rPr>
          <w:b/>
        </w:rPr>
        <w:t xml:space="preserve"> - </w:t>
      </w:r>
      <w:r w:rsidR="00A65B09" w:rsidRPr="002C595F">
        <w:rPr>
          <w:b/>
        </w:rPr>
        <w:t>AOP</w:t>
      </w:r>
      <w:r w:rsidR="00991D15" w:rsidRPr="002C595F">
        <w:rPr>
          <w:b/>
        </w:rPr>
        <w:t xml:space="preserve"> 162 – Službena putovanja</w:t>
      </w:r>
      <w:r w:rsidR="00991D15" w:rsidRPr="002C595F">
        <w:t xml:space="preserve"> – Troškovi službenih putovanja realizirani su u znatno </w:t>
      </w:r>
      <w:r w:rsidR="005F2CBD">
        <w:t>većem</w:t>
      </w:r>
      <w:r w:rsidR="00991D15" w:rsidRPr="002C595F">
        <w:t xml:space="preserve"> opsegu u odnosu na prethodno razdoblje zbog </w:t>
      </w:r>
      <w:r w:rsidR="005F2CBD">
        <w:t xml:space="preserve">smanjenja </w:t>
      </w:r>
      <w:r w:rsidR="00991D15" w:rsidRPr="002C595F">
        <w:t xml:space="preserve">ograničenja održavanja stručnih skupova te natjecanja uslijed pandemije </w:t>
      </w:r>
      <w:r w:rsidR="00A65B09" w:rsidRPr="002C595F">
        <w:t>uzrokovane bole</w:t>
      </w:r>
      <w:r w:rsidR="00C70525">
        <w:t>šću</w:t>
      </w:r>
      <w:r w:rsidR="00A65B09" w:rsidRPr="002C595F">
        <w:t xml:space="preserve"> </w:t>
      </w:r>
      <w:r w:rsidR="00991D15" w:rsidRPr="002C595F">
        <w:t>Covid</w:t>
      </w:r>
      <w:r w:rsidR="00C70525">
        <w:t>-19</w:t>
      </w:r>
      <w:r w:rsidR="00991D15" w:rsidRPr="002C595F">
        <w:t>.</w:t>
      </w:r>
    </w:p>
    <w:p w14:paraId="4331F95D" w14:textId="6D676049" w:rsidR="00991D15" w:rsidRPr="002C595F" w:rsidRDefault="002400A4" w:rsidP="004154E0">
      <w:r>
        <w:rPr>
          <w:b/>
        </w:rPr>
        <w:lastRenderedPageBreak/>
        <w:t>Bilješka broj 11</w:t>
      </w:r>
      <w:r w:rsidR="00A65B09" w:rsidRPr="002C595F">
        <w:rPr>
          <w:b/>
        </w:rPr>
        <w:t xml:space="preserve"> - AOP</w:t>
      </w:r>
      <w:r w:rsidR="005F2CBD">
        <w:rPr>
          <w:b/>
        </w:rPr>
        <w:t xml:space="preserve"> 169</w:t>
      </w:r>
      <w:r w:rsidR="00991D15" w:rsidRPr="002C595F">
        <w:rPr>
          <w:b/>
        </w:rPr>
        <w:t xml:space="preserve">– </w:t>
      </w:r>
      <w:r w:rsidR="005F2CBD">
        <w:rPr>
          <w:b/>
        </w:rPr>
        <w:t>Sitni inventar</w:t>
      </w:r>
      <w:r w:rsidR="00991D15" w:rsidRPr="002C595F">
        <w:t xml:space="preserve"> </w:t>
      </w:r>
      <w:r w:rsidR="005F2CBD">
        <w:t>– Ulaganje u sitni inventar povećano je za 362% zbog veće potrebe za uredskim stolicama za kabinete, defibrilatorom, pisačima, usisavačima i sl.</w:t>
      </w:r>
    </w:p>
    <w:p w14:paraId="6F382CF0" w14:textId="40D9C2EB" w:rsidR="0016086A" w:rsidRPr="00475063" w:rsidRDefault="006A3A41" w:rsidP="004154E0">
      <w:r w:rsidRPr="002C595F">
        <w:rPr>
          <w:b/>
        </w:rPr>
        <w:t>Bilješka broj</w:t>
      </w:r>
      <w:r w:rsidR="002400A4">
        <w:rPr>
          <w:b/>
        </w:rPr>
        <w:t xml:space="preserve"> 12</w:t>
      </w:r>
      <w:r w:rsidR="0016086A" w:rsidRPr="002C595F">
        <w:rPr>
          <w:b/>
        </w:rPr>
        <w:t xml:space="preserve"> - </w:t>
      </w:r>
      <w:r w:rsidR="00153549" w:rsidRPr="002C595F">
        <w:rPr>
          <w:b/>
        </w:rPr>
        <w:t>AOP</w:t>
      </w:r>
      <w:r w:rsidR="0016086A" w:rsidRPr="002C595F">
        <w:rPr>
          <w:b/>
        </w:rPr>
        <w:t xml:space="preserve"> </w:t>
      </w:r>
      <w:r w:rsidR="005F2CBD">
        <w:rPr>
          <w:b/>
        </w:rPr>
        <w:t xml:space="preserve">191 – Financijski rashodi – </w:t>
      </w:r>
      <w:r w:rsidR="005F2CBD" w:rsidRPr="00475063">
        <w:t xml:space="preserve">Ova skupina rashoda bilježi značajno odstupanje u odnosu na prošlu godinu. Riječ je o zateznim kamatama po sudskim sporovima čije su presude postale pravomoćne te isplaćene u 2021.g. </w:t>
      </w:r>
    </w:p>
    <w:p w14:paraId="5920F051" w14:textId="58A8731F" w:rsidR="00FB6D47" w:rsidRDefault="002400A4" w:rsidP="004154E0">
      <w:r>
        <w:rPr>
          <w:b/>
        </w:rPr>
        <w:t>Bilješka broj 13</w:t>
      </w:r>
      <w:r w:rsidR="0016086A" w:rsidRPr="002C595F">
        <w:rPr>
          <w:b/>
        </w:rPr>
        <w:t xml:space="preserve"> - A</w:t>
      </w:r>
      <w:r w:rsidR="004B109B">
        <w:rPr>
          <w:b/>
        </w:rPr>
        <w:t>OP</w:t>
      </w:r>
      <w:r w:rsidR="002A4D5C">
        <w:rPr>
          <w:b/>
        </w:rPr>
        <w:t xml:space="preserve"> 289</w:t>
      </w:r>
      <w:r w:rsidR="0016086A" w:rsidRPr="002C595F">
        <w:rPr>
          <w:b/>
        </w:rPr>
        <w:t xml:space="preserve"> – Obračunati prihodi poslovanja - nenaplaćeni</w:t>
      </w:r>
      <w:r w:rsidR="0016086A" w:rsidRPr="002C595F">
        <w:t xml:space="preserve"> – Obračunati nenaplaćeni prihodi poslovanja </w:t>
      </w:r>
      <w:r w:rsidR="002A4D5C">
        <w:t xml:space="preserve">potpuno su otpisani uslijed </w:t>
      </w:r>
      <w:r w:rsidR="0016086A" w:rsidRPr="002C595F">
        <w:t>provođenja obveznog ispravka vrijednosti potraživanja sukladno Pravilniku o proračunskom</w:t>
      </w:r>
      <w:r w:rsidR="0016086A">
        <w:t xml:space="preserve"> računovodstvu i </w:t>
      </w:r>
      <w:r w:rsidR="002A4D5C">
        <w:t xml:space="preserve">Računskom </w:t>
      </w:r>
      <w:r w:rsidR="00475063">
        <w:t xml:space="preserve">planu zbog ispunjenja uvjeta </w:t>
      </w:r>
      <w:r w:rsidR="002A4D5C">
        <w:t>kašnjenja u naplati potraživanja iznad 3 godine (čl. 27a. Pravilnika).</w:t>
      </w:r>
    </w:p>
    <w:p w14:paraId="5FB03A73" w14:textId="5EC05A37" w:rsidR="006A3A41" w:rsidRPr="006A3A41" w:rsidRDefault="002400A4" w:rsidP="006A3A41">
      <w:r>
        <w:rPr>
          <w:b/>
        </w:rPr>
        <w:t>Bilješka broj 14</w:t>
      </w:r>
      <w:r w:rsidR="006A3A41" w:rsidRPr="006A3A41">
        <w:rPr>
          <w:b/>
        </w:rPr>
        <w:t xml:space="preserve"> - AOP 360 – Postrojenja i oprema</w:t>
      </w:r>
      <w:r w:rsidR="006A3A41" w:rsidRPr="006A3A41">
        <w:t xml:space="preserve"> – U prethodnom razdoblju, rashodi za</w:t>
      </w:r>
      <w:r w:rsidR="002A4D5C">
        <w:t xml:space="preserve"> nabavu postrojenja i opreme manj</w:t>
      </w:r>
      <w:r w:rsidR="006A3A41" w:rsidRPr="006A3A41">
        <w:t xml:space="preserve">i su za </w:t>
      </w:r>
      <w:r w:rsidR="002A4D5C">
        <w:t>25,6</w:t>
      </w:r>
      <w:r w:rsidR="006A3A41" w:rsidRPr="006A3A41">
        <w:t xml:space="preserve">% u odnosu na promatrano razdoblje zbog </w:t>
      </w:r>
      <w:r w:rsidR="002A4D5C">
        <w:t xml:space="preserve">smanjene potrebe za opremom (postojeća je u dobrom stanju, a veliki dio računalne opreme zaprimljen je i kroz </w:t>
      </w:r>
      <w:proofErr w:type="spellStart"/>
      <w:r w:rsidR="002A4D5C">
        <w:t>Carnet</w:t>
      </w:r>
      <w:proofErr w:type="spellEnd"/>
      <w:r w:rsidR="002A4D5C">
        <w:t xml:space="preserve"> projekte).</w:t>
      </w:r>
    </w:p>
    <w:p w14:paraId="06BF449E" w14:textId="23926E1D" w:rsidR="006A3A41" w:rsidRPr="002C595F" w:rsidRDefault="002400A4" w:rsidP="004154E0">
      <w:r>
        <w:rPr>
          <w:b/>
        </w:rPr>
        <w:t>Bilješka broj 15</w:t>
      </w:r>
      <w:r w:rsidR="006A3A41" w:rsidRPr="002C595F">
        <w:rPr>
          <w:b/>
        </w:rPr>
        <w:t xml:space="preserve"> - AOP 375 – Knjige </w:t>
      </w:r>
      <w:r w:rsidR="002A4D5C">
        <w:t>– Sukladno O</w:t>
      </w:r>
      <w:r w:rsidR="006A3A41" w:rsidRPr="002C595F">
        <w:t xml:space="preserve">dluci Ministarstva znanosti i obrazovanja, u promatranom razdoblju ostvarili smo </w:t>
      </w:r>
      <w:r w:rsidR="002A4D5C">
        <w:t>više</w:t>
      </w:r>
      <w:r w:rsidR="006A3A41" w:rsidRPr="002C595F">
        <w:t xml:space="preserve"> sredstava</w:t>
      </w:r>
      <w:r w:rsidR="002A4D5C">
        <w:t xml:space="preserve"> kojima se financira nabava knjiga (kapitalni prihodi iz proračuna koji nije nadležan)</w:t>
      </w:r>
      <w:r w:rsidR="006A3A41" w:rsidRPr="002C595F">
        <w:t xml:space="preserve">, stoga su rashodi za nabavu knjiga </w:t>
      </w:r>
      <w:r w:rsidR="002A4D5C">
        <w:t>veći</w:t>
      </w:r>
      <w:r w:rsidR="006A3A41" w:rsidRPr="002C595F">
        <w:t xml:space="preserve"> za </w:t>
      </w:r>
      <w:r w:rsidR="002A4D5C">
        <w:t>60,4</w:t>
      </w:r>
      <w:r w:rsidR="006A3A41" w:rsidRPr="002C595F">
        <w:t xml:space="preserve">% u odnosu na prethodno razdoblje. </w:t>
      </w:r>
    </w:p>
    <w:p w14:paraId="7B66CF11" w14:textId="173FD035" w:rsidR="003D1F5A" w:rsidRPr="0098677A" w:rsidRDefault="002C595F" w:rsidP="004154E0">
      <w:pPr>
        <w:rPr>
          <w:b/>
        </w:rPr>
      </w:pPr>
      <w:r>
        <w:rPr>
          <w:b/>
        </w:rPr>
        <w:t xml:space="preserve">Bilješka broj </w:t>
      </w:r>
      <w:r w:rsidR="000A107B" w:rsidRPr="000A107B">
        <w:rPr>
          <w:b/>
        </w:rPr>
        <w:t>1</w:t>
      </w:r>
      <w:r w:rsidR="002400A4">
        <w:rPr>
          <w:b/>
        </w:rPr>
        <w:t>6</w:t>
      </w:r>
      <w:r w:rsidR="003D1F5A" w:rsidRPr="000A107B">
        <w:rPr>
          <w:b/>
        </w:rPr>
        <w:t xml:space="preserve"> - U</w:t>
      </w:r>
      <w:r w:rsidR="0098677A">
        <w:rPr>
          <w:b/>
        </w:rPr>
        <w:t>tvrđivanje rezultata poslovanja</w:t>
      </w:r>
    </w:p>
    <w:p w14:paraId="3222C274" w14:textId="10FE82B2" w:rsidR="003D1F5A" w:rsidRDefault="003D1F5A" w:rsidP="004154E0">
      <w:r>
        <w:t>Prije izra</w:t>
      </w:r>
      <w:r w:rsidR="002400A4">
        <w:t>de financijskih izvješća za 2021</w:t>
      </w:r>
      <w:r>
        <w:t>. godinu provedena su zaključna knjiženja kojima se utvrđuje rezultat poslovanja. Utvrđivanje rezultata na kraju godine provodi se zatvaranjem računa rashoda i izdataka</w:t>
      </w:r>
      <w:r w:rsidR="00B921D3">
        <w:t xml:space="preserve"> te</w:t>
      </w:r>
      <w:r>
        <w:t xml:space="preserve"> prihoda i primitaka. </w:t>
      </w:r>
    </w:p>
    <w:p w14:paraId="320D628D" w14:textId="6C8366A6" w:rsidR="0098677A" w:rsidRDefault="003D1F5A" w:rsidP="004154E0">
      <w:r>
        <w:t>U nastavku se daje analiza i potvrđuje usklađenost stanja sreds</w:t>
      </w:r>
      <w:r w:rsidR="0098677A">
        <w:t xml:space="preserve">tava i financijskog rezultata. </w:t>
      </w:r>
    </w:p>
    <w:p w14:paraId="66A74274" w14:textId="77777777" w:rsidR="00B921D3" w:rsidRDefault="00B921D3" w:rsidP="004154E0"/>
    <w:p w14:paraId="468A98F5" w14:textId="0805EECF" w:rsidR="003D1F5A" w:rsidRDefault="003D1F5A" w:rsidP="004154E0">
      <w:r>
        <w:t xml:space="preserve">Analiza </w:t>
      </w:r>
      <w:r w:rsidR="0098677A">
        <w:t xml:space="preserve">stanja sredstava na </w:t>
      </w:r>
      <w:proofErr w:type="spellStart"/>
      <w:r w:rsidR="0098677A">
        <w:t>podračunu</w:t>
      </w:r>
      <w:proofErr w:type="spellEnd"/>
      <w:r w:rsidR="0098677A">
        <w:t xml:space="preserve">: </w:t>
      </w:r>
    </w:p>
    <w:p w14:paraId="4E1AD1C2" w14:textId="29C51256" w:rsidR="003D1F5A" w:rsidRDefault="00037F60" w:rsidP="004154E0">
      <w:r>
        <w:t xml:space="preserve">Konto 163 – projekti      </w:t>
      </w:r>
      <w:r w:rsidR="003D1F5A">
        <w:t xml:space="preserve"> </w:t>
      </w:r>
      <w:r w:rsidR="003D1F5A">
        <w:tab/>
      </w:r>
      <w:r w:rsidR="003D1F5A">
        <w:tab/>
      </w:r>
      <w:r w:rsidR="003D1F5A">
        <w:tab/>
      </w:r>
      <w:r w:rsidR="003D1F5A">
        <w:tab/>
      </w:r>
      <w:r w:rsidR="008C1A18">
        <w:t xml:space="preserve">  </w:t>
      </w:r>
      <w:r w:rsidR="00F64D5C">
        <w:t>187.692,26</w:t>
      </w:r>
    </w:p>
    <w:p w14:paraId="75EDE8BF" w14:textId="7DC49F10" w:rsidR="003D1F5A" w:rsidRDefault="008C1A18" w:rsidP="004154E0">
      <w:r>
        <w:t>+</w:t>
      </w:r>
      <w:r w:rsidR="003D1F5A">
        <w:t>Konto 167</w:t>
      </w:r>
      <w:r w:rsidR="00477CCD">
        <w:tab/>
      </w:r>
      <w:r w:rsidR="00477CCD">
        <w:tab/>
      </w:r>
      <w:r w:rsidR="00477CCD">
        <w:tab/>
      </w:r>
      <w:r w:rsidR="00477CCD">
        <w:tab/>
      </w:r>
      <w:r w:rsidR="00477CCD">
        <w:tab/>
      </w:r>
      <w:r w:rsidR="00477CCD">
        <w:tab/>
      </w:r>
      <w:r w:rsidR="00037F60">
        <w:t xml:space="preserve">  </w:t>
      </w:r>
      <w:r w:rsidR="00F64D5C">
        <w:t>309.727,80</w:t>
      </w:r>
      <w:r w:rsidR="008870D1">
        <w:t xml:space="preserve"> </w:t>
      </w:r>
    </w:p>
    <w:p w14:paraId="4306EF75" w14:textId="64BAD280" w:rsidR="00477CCD" w:rsidRDefault="002400A4" w:rsidP="004154E0">
      <w:pPr>
        <w:pBdr>
          <w:bottom w:val="single" w:sz="12" w:space="1" w:color="auto"/>
        </w:pBdr>
      </w:pPr>
      <w:r>
        <w:t>Ukupno stanje sredstava:</w:t>
      </w:r>
      <w:r>
        <w:tab/>
      </w:r>
      <w:r>
        <w:tab/>
      </w:r>
      <w:r>
        <w:tab/>
      </w:r>
      <w:r w:rsidR="00037F60">
        <w:tab/>
      </w:r>
      <w:r w:rsidR="00F64D5C">
        <w:t xml:space="preserve">   497.420,06</w:t>
      </w:r>
    </w:p>
    <w:p w14:paraId="7C1D2FF2" w14:textId="5FEDA26A" w:rsidR="00477CCD" w:rsidRDefault="00477CCD" w:rsidP="004154E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400A4">
        <w:t xml:space="preserve"> -Obveze iz ostalih izvora</w:t>
      </w:r>
      <w:r w:rsidR="002400A4">
        <w:tab/>
      </w:r>
      <w:r w:rsidR="002400A4">
        <w:tab/>
      </w:r>
      <w:r w:rsidR="002400A4">
        <w:tab/>
      </w:r>
      <w:r>
        <w:tab/>
      </w:r>
      <w:r w:rsidR="00D1279F">
        <w:t xml:space="preserve">   </w:t>
      </w:r>
      <w:r w:rsidR="002400A4">
        <w:t>-</w:t>
      </w:r>
      <w:r w:rsidR="00F64D5C">
        <w:t xml:space="preserve"> 32.281,54</w:t>
      </w:r>
    </w:p>
    <w:p w14:paraId="59FF9EFD" w14:textId="5CBF0ADB" w:rsidR="00477CCD" w:rsidRDefault="00477CCD" w:rsidP="004154E0">
      <w:pPr>
        <w:rPr>
          <w:u w:val="single"/>
        </w:rPr>
      </w:pPr>
      <w:r w:rsidRPr="00477CCD">
        <w:rPr>
          <w:u w:val="single"/>
        </w:rPr>
        <w:t xml:space="preserve">Saldo: </w:t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Pr="00477CCD">
        <w:rPr>
          <w:u w:val="single"/>
        </w:rPr>
        <w:tab/>
      </w:r>
      <w:r w:rsidR="00037F60">
        <w:rPr>
          <w:u w:val="single"/>
        </w:rPr>
        <w:t xml:space="preserve">    </w:t>
      </w:r>
      <w:r w:rsidR="00F64D5C">
        <w:rPr>
          <w:u w:val="single"/>
        </w:rPr>
        <w:t>465.138,52</w:t>
      </w:r>
      <w:r w:rsidRPr="00477CCD">
        <w:rPr>
          <w:u w:val="single"/>
        </w:rPr>
        <w:t xml:space="preserve"> (sr</w:t>
      </w:r>
      <w:r w:rsidR="00037F60">
        <w:rPr>
          <w:u w:val="single"/>
        </w:rPr>
        <w:t xml:space="preserve">edstva koja </w:t>
      </w:r>
      <w:r w:rsidR="002400A4">
        <w:rPr>
          <w:u w:val="single"/>
        </w:rPr>
        <w:t>će se trošiti u 2022</w:t>
      </w:r>
      <w:r w:rsidRPr="00477CCD">
        <w:rPr>
          <w:u w:val="single"/>
        </w:rPr>
        <w:t>.g a čiji su prihod</w:t>
      </w:r>
      <w:r w:rsidR="00037F60">
        <w:rPr>
          <w:u w:val="single"/>
        </w:rPr>
        <w:t xml:space="preserve">i evidentirani u </w:t>
      </w:r>
      <w:r w:rsidR="002400A4">
        <w:rPr>
          <w:u w:val="single"/>
        </w:rPr>
        <w:t>2021. i prijašnjim godinama.</w:t>
      </w:r>
    </w:p>
    <w:p w14:paraId="3E833776" w14:textId="3A7CB12C" w:rsidR="00745D70" w:rsidRDefault="00477CCD" w:rsidP="004154E0">
      <w:r w:rsidRPr="00477CCD">
        <w:t>Kada je riječ o decentraliziranim sredstvima</w:t>
      </w:r>
      <w:r w:rsidR="002400A4">
        <w:t xml:space="preserve"> i sredstvima iz državnog proračuna za plaće</w:t>
      </w:r>
      <w:r w:rsidRPr="00477CCD">
        <w:t xml:space="preserve">, </w:t>
      </w:r>
      <w:r w:rsidR="00037F60">
        <w:t>sukladno modificiranom načelu nastanka događaja</w:t>
      </w:r>
      <w:r w:rsidR="00844982">
        <w:t>,</w:t>
      </w:r>
      <w:r w:rsidR="00037F60">
        <w:t xml:space="preserve"> </w:t>
      </w:r>
      <w:r w:rsidRPr="00477CCD">
        <w:t>š</w:t>
      </w:r>
      <w:r w:rsidR="00037F60">
        <w:t xml:space="preserve">kola </w:t>
      </w:r>
      <w:r w:rsidR="00B921D3">
        <w:t xml:space="preserve">je </w:t>
      </w:r>
      <w:r w:rsidR="00037F60">
        <w:t>kao proračunski korisnik</w:t>
      </w:r>
      <w:r w:rsidRPr="00477CCD">
        <w:t xml:space="preserve"> obvezna</w:t>
      </w:r>
      <w:r w:rsidR="00037F60">
        <w:t xml:space="preserve"> iskazati rashode</w:t>
      </w:r>
      <w:r w:rsidR="00526013">
        <w:t xml:space="preserve"> i obveze </w:t>
      </w:r>
      <w:r w:rsidR="00594AE0">
        <w:t>kada su nastale i teretiti izvještajno razdoblje</w:t>
      </w:r>
      <w:r w:rsidRPr="00477CCD">
        <w:t xml:space="preserve"> be</w:t>
      </w:r>
      <w:r w:rsidR="00037F60">
        <w:t>z obzira jesu li iste podmirene</w:t>
      </w:r>
      <w:r w:rsidR="00844982">
        <w:t xml:space="preserve"> u izvještajnom razdoblju</w:t>
      </w:r>
      <w:r w:rsidR="00037F60">
        <w:t>.</w:t>
      </w:r>
      <w:r w:rsidR="00516538">
        <w:t xml:space="preserve"> </w:t>
      </w:r>
    </w:p>
    <w:p w14:paraId="4AF384C1" w14:textId="77777777" w:rsidR="00477CCD" w:rsidRDefault="00477CCD" w:rsidP="004154E0">
      <w:r>
        <w:t xml:space="preserve">Stoga, izračun dalje slijedi: </w:t>
      </w:r>
    </w:p>
    <w:p w14:paraId="7B38C69D" w14:textId="4367BE3C" w:rsidR="00477CCD" w:rsidRPr="00057696" w:rsidRDefault="00477CCD" w:rsidP="002400A4">
      <w:pPr>
        <w:rPr>
          <w:b/>
        </w:rPr>
      </w:pPr>
      <w:r w:rsidRPr="00057696">
        <w:rPr>
          <w:b/>
        </w:rPr>
        <w:t>Stanje sredstava koje će se trošiti u 202</w:t>
      </w:r>
      <w:r w:rsidR="002400A4">
        <w:rPr>
          <w:b/>
        </w:rPr>
        <w:t>2</w:t>
      </w:r>
      <w:r w:rsidRPr="00057696">
        <w:rPr>
          <w:b/>
        </w:rPr>
        <w:t xml:space="preserve">. čiji su prihodi evidentirani </w:t>
      </w:r>
      <w:r w:rsidR="002400A4">
        <w:rPr>
          <w:b/>
        </w:rPr>
        <w:t xml:space="preserve">                 </w:t>
      </w:r>
      <w:r w:rsidR="00057696" w:rsidRPr="00057696">
        <w:rPr>
          <w:b/>
        </w:rPr>
        <w:t xml:space="preserve"> </w:t>
      </w:r>
      <w:r w:rsidR="00057696" w:rsidRPr="00057696">
        <w:rPr>
          <w:b/>
        </w:rPr>
        <w:tab/>
      </w:r>
      <w:r w:rsidR="00D1279F">
        <w:rPr>
          <w:b/>
        </w:rPr>
        <w:t>465.138,52</w:t>
      </w:r>
      <w:r w:rsidR="00037F60">
        <w:rPr>
          <w:b/>
        </w:rPr>
        <w:t xml:space="preserve"> </w:t>
      </w:r>
      <w:r w:rsidRPr="00057696">
        <w:rPr>
          <w:b/>
        </w:rPr>
        <w:t>kn</w:t>
      </w:r>
    </w:p>
    <w:p w14:paraId="4C286175" w14:textId="731AC604" w:rsidR="00057696" w:rsidRPr="00057696" w:rsidRDefault="00057696" w:rsidP="00745D70">
      <w:pPr>
        <w:jc w:val="right"/>
        <w:rPr>
          <w:u w:val="single"/>
        </w:rPr>
      </w:pPr>
      <w:r w:rsidRPr="00057696">
        <w:rPr>
          <w:u w:val="single"/>
        </w:rPr>
        <w:t xml:space="preserve">+ razlika plaćenog PDV-a za koju će rashodi iz </w:t>
      </w:r>
      <w:proofErr w:type="spellStart"/>
      <w:r w:rsidRPr="00057696">
        <w:rPr>
          <w:u w:val="single"/>
        </w:rPr>
        <w:t>vl</w:t>
      </w:r>
      <w:proofErr w:type="spellEnd"/>
      <w:r w:rsidRPr="00057696">
        <w:rPr>
          <w:u w:val="single"/>
        </w:rPr>
        <w:t>. prihoda biti veći od prihoda u 20</w:t>
      </w:r>
      <w:r w:rsidR="002400A4">
        <w:rPr>
          <w:u w:val="single"/>
        </w:rPr>
        <w:t>22</w:t>
      </w:r>
      <w:r w:rsidRPr="00057696">
        <w:rPr>
          <w:u w:val="single"/>
        </w:rPr>
        <w:t>.</w:t>
      </w:r>
      <w:r w:rsidR="00C41B6C">
        <w:rPr>
          <w:u w:val="single"/>
        </w:rPr>
        <w:t>g</w:t>
      </w:r>
      <w:r w:rsidRPr="00057696">
        <w:rPr>
          <w:u w:val="single"/>
        </w:rPr>
        <w:t xml:space="preserve"> </w:t>
      </w:r>
      <w:r w:rsidRPr="00057696">
        <w:rPr>
          <w:u w:val="single"/>
        </w:rPr>
        <w:tab/>
        <w:t xml:space="preserve">     4</w:t>
      </w:r>
      <w:r w:rsidR="00745D70">
        <w:rPr>
          <w:u w:val="single"/>
        </w:rPr>
        <w:t>.</w:t>
      </w:r>
      <w:r w:rsidRPr="00057696">
        <w:rPr>
          <w:u w:val="single"/>
        </w:rPr>
        <w:t>970,09kn</w:t>
      </w:r>
    </w:p>
    <w:p w14:paraId="442F990D" w14:textId="521CC87C" w:rsidR="00057696" w:rsidRPr="00057696" w:rsidRDefault="00057696" w:rsidP="00745D70">
      <w:pPr>
        <w:jc w:val="right"/>
        <w:rPr>
          <w:b/>
        </w:rPr>
      </w:pPr>
      <w:r w:rsidRPr="00057696">
        <w:rPr>
          <w:b/>
        </w:rPr>
        <w:lastRenderedPageBreak/>
        <w:t xml:space="preserve">Stanje potraživanja za sredstvima na </w:t>
      </w:r>
      <w:proofErr w:type="spellStart"/>
      <w:r w:rsidRPr="00057696">
        <w:rPr>
          <w:b/>
        </w:rPr>
        <w:t>podračunu</w:t>
      </w:r>
      <w:proofErr w:type="spellEnd"/>
      <w:r w:rsidRPr="00057696">
        <w:rPr>
          <w:b/>
        </w:rPr>
        <w:t xml:space="preserve"> ko</w:t>
      </w:r>
      <w:r w:rsidR="002400A4">
        <w:rPr>
          <w:b/>
        </w:rPr>
        <w:t>ja će se trošiti u 2022</w:t>
      </w:r>
      <w:r w:rsidR="00037F60">
        <w:rPr>
          <w:b/>
        </w:rPr>
        <w:t xml:space="preserve">.g. </w:t>
      </w:r>
      <w:r w:rsidR="00037F60">
        <w:rPr>
          <w:b/>
        </w:rPr>
        <w:tab/>
      </w:r>
      <w:r w:rsidR="00037F60">
        <w:rPr>
          <w:b/>
        </w:rPr>
        <w:tab/>
      </w:r>
      <w:r w:rsidR="00D1279F">
        <w:rPr>
          <w:b/>
        </w:rPr>
        <w:t>470.108,61</w:t>
      </w:r>
      <w:r w:rsidR="00037F60">
        <w:rPr>
          <w:b/>
        </w:rPr>
        <w:t xml:space="preserve"> </w:t>
      </w:r>
      <w:r w:rsidRPr="00057696">
        <w:rPr>
          <w:b/>
        </w:rPr>
        <w:t>kn</w:t>
      </w:r>
    </w:p>
    <w:p w14:paraId="710F4F80" w14:textId="35175FF8" w:rsidR="00477CCD" w:rsidRPr="00057696" w:rsidRDefault="00C745F6" w:rsidP="002400A4">
      <w:pPr>
        <w:rPr>
          <w:u w:val="single"/>
        </w:rPr>
      </w:pPr>
      <w:r>
        <w:rPr>
          <w:u w:val="single"/>
        </w:rPr>
        <w:t>-</w:t>
      </w:r>
      <w:r w:rsidR="004D0EFE" w:rsidRPr="00057696">
        <w:rPr>
          <w:u w:val="single"/>
        </w:rPr>
        <w:t xml:space="preserve">Manjak </w:t>
      </w:r>
      <w:r w:rsidR="00477CCD" w:rsidRPr="00057696">
        <w:rPr>
          <w:u w:val="single"/>
        </w:rPr>
        <w:t>prihoda poslovanja un</w:t>
      </w:r>
      <w:r w:rsidR="002400A4">
        <w:rPr>
          <w:u w:val="single"/>
        </w:rPr>
        <w:t>utar izvora pomoći</w:t>
      </w:r>
      <w:r>
        <w:rPr>
          <w:u w:val="single"/>
        </w:rPr>
        <w:tab/>
      </w:r>
      <w:r>
        <w:rPr>
          <w:u w:val="single"/>
        </w:rPr>
        <w:tab/>
      </w:r>
      <w:r w:rsidR="00037F60">
        <w:rPr>
          <w:u w:val="single"/>
        </w:rPr>
        <w:tab/>
      </w:r>
      <w:r w:rsidR="002400A4">
        <w:rPr>
          <w:u w:val="single"/>
        </w:rPr>
        <w:t xml:space="preserve">    </w:t>
      </w:r>
      <w:r w:rsidR="00037F60">
        <w:rPr>
          <w:u w:val="single"/>
        </w:rPr>
        <w:tab/>
      </w:r>
      <w:r w:rsidR="002400A4">
        <w:rPr>
          <w:u w:val="single"/>
        </w:rPr>
        <w:t xml:space="preserve">              </w:t>
      </w:r>
      <w:r w:rsidR="00D1279F">
        <w:rPr>
          <w:u w:val="single"/>
        </w:rPr>
        <w:t>124.923,84</w:t>
      </w:r>
      <w:r w:rsidR="00037F60">
        <w:rPr>
          <w:u w:val="single"/>
        </w:rPr>
        <w:t xml:space="preserve"> </w:t>
      </w:r>
      <w:r w:rsidR="00477CCD" w:rsidRPr="00057696">
        <w:rPr>
          <w:u w:val="single"/>
        </w:rPr>
        <w:t>kn</w:t>
      </w:r>
    </w:p>
    <w:p w14:paraId="7369E226" w14:textId="299B5C7A" w:rsidR="00663A3E" w:rsidRDefault="00663A3E" w:rsidP="00745D70">
      <w:pPr>
        <w:jc w:val="right"/>
        <w:rPr>
          <w:b/>
        </w:rPr>
      </w:pPr>
      <w:r w:rsidRPr="006A5E55">
        <w:rPr>
          <w:b/>
        </w:rPr>
        <w:t xml:space="preserve">Saldo: </w:t>
      </w:r>
      <w:r w:rsidRPr="006A5E5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79F">
        <w:rPr>
          <w:b/>
        </w:rPr>
        <w:t>345.184,77</w:t>
      </w:r>
      <w:r w:rsidR="00037F60">
        <w:rPr>
          <w:b/>
        </w:rPr>
        <w:t xml:space="preserve"> </w:t>
      </w:r>
      <w:r w:rsidRPr="006A5E55">
        <w:rPr>
          <w:b/>
        </w:rPr>
        <w:t>kn</w:t>
      </w:r>
    </w:p>
    <w:p w14:paraId="4015C75D" w14:textId="77777777" w:rsidR="0098677A" w:rsidRPr="0098677A" w:rsidRDefault="0098677A" w:rsidP="004154E0">
      <w:pPr>
        <w:rPr>
          <w:b/>
        </w:rPr>
      </w:pPr>
    </w:p>
    <w:p w14:paraId="1E8E027E" w14:textId="3B10A793" w:rsidR="00663A3E" w:rsidRDefault="00663A3E" w:rsidP="004154E0">
      <w:r>
        <w:t xml:space="preserve">Financijski rezultat poslovanja dobiven je kroz analizu potraživanja za prihode iz proračuna (podskupina </w:t>
      </w:r>
      <w:r w:rsidR="00037F60">
        <w:t xml:space="preserve">163 i </w:t>
      </w:r>
      <w:r>
        <w:t>167), obveza iz ostali</w:t>
      </w:r>
      <w:r w:rsidR="00037F60">
        <w:t>h izvora te s druge strane manjka</w:t>
      </w:r>
      <w:r>
        <w:t xml:space="preserve"> prihoda poslovanja unutar izvora </w:t>
      </w:r>
      <w:r w:rsidR="002400A4">
        <w:t>pomoći</w:t>
      </w:r>
      <w:r>
        <w:t xml:space="preserve">. </w:t>
      </w:r>
    </w:p>
    <w:p w14:paraId="49026F18" w14:textId="77777777" w:rsidR="00663A3E" w:rsidRDefault="00663A3E" w:rsidP="004154E0">
      <w:r>
        <w:t xml:space="preserve">U nastavku slijedi izračun financijskog rezultata kroz zaključna knjiženja. </w:t>
      </w:r>
    </w:p>
    <w:p w14:paraId="7D6CC4F4" w14:textId="20D87B94" w:rsidR="00663A3E" w:rsidRDefault="00663A3E" w:rsidP="004154E0">
      <w:r>
        <w:t>Sučeljavanjem prihoda i rashoda poslovanja (razred 3 i 6) te prihoda i rashoda od nefinancijske imovine (razred 4</w:t>
      </w:r>
      <w:r w:rsidR="00057696">
        <w:t xml:space="preserve"> </w:t>
      </w:r>
      <w:r w:rsidR="002400A4">
        <w:t xml:space="preserve">i 7) te prenesenog rezultata </w:t>
      </w:r>
      <w:r>
        <w:t xml:space="preserve">dobiven je financijski rezultat u iznosu </w:t>
      </w:r>
      <w:r w:rsidR="002400A4">
        <w:t>345.184,77</w:t>
      </w:r>
      <w:r w:rsidR="00057696">
        <w:t xml:space="preserve"> kn </w:t>
      </w:r>
      <w:r>
        <w:t xml:space="preserve">koji predstavlja višak prihoda i primitaka za slijedeće razdoblje, a izračun se nalazi u nastavku: </w:t>
      </w:r>
    </w:p>
    <w:p w14:paraId="50CCD1A8" w14:textId="77777777" w:rsidR="00663A3E" w:rsidRDefault="00663A3E" w:rsidP="004154E0"/>
    <w:p w14:paraId="5C93EE2D" w14:textId="44673C64" w:rsidR="00663A3E" w:rsidRPr="006A5E55" w:rsidRDefault="00663A3E" w:rsidP="004154E0">
      <w:pPr>
        <w:rPr>
          <w:rFonts w:ascii="Calibri" w:eastAsia="Times New Roman" w:hAnsi="Calibri" w:cs="Times New Roman"/>
          <w:color w:val="000000"/>
          <w:lang w:eastAsia="hr-HR"/>
        </w:rPr>
      </w:pPr>
      <w:r>
        <w:t>Prihodi poslovanja</w:t>
      </w:r>
      <w:r w:rsidR="006A5E55">
        <w:t xml:space="preserve"> </w:t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 w:rsidRPr="006A5E55">
        <w:rPr>
          <w:rFonts w:ascii="Calibri" w:eastAsia="Times New Roman" w:hAnsi="Calibri" w:cs="Times New Roman"/>
          <w:color w:val="000000"/>
          <w:lang w:eastAsia="hr-HR"/>
        </w:rPr>
        <w:t>12</w:t>
      </w:r>
      <w:r w:rsidR="00F64D5C">
        <w:rPr>
          <w:rFonts w:ascii="Calibri" w:eastAsia="Times New Roman" w:hAnsi="Calibri" w:cs="Times New Roman"/>
          <w:color w:val="000000"/>
          <w:lang w:eastAsia="hr-HR"/>
        </w:rPr>
        <w:t>.898.950,18</w:t>
      </w:r>
      <w:r w:rsidR="006A5E55">
        <w:rPr>
          <w:rFonts w:ascii="Calibri" w:eastAsia="Times New Roman" w:hAnsi="Calibri" w:cs="Times New Roman"/>
          <w:color w:val="000000"/>
          <w:lang w:eastAsia="hr-HR"/>
        </w:rPr>
        <w:t xml:space="preserve"> kn</w:t>
      </w:r>
    </w:p>
    <w:p w14:paraId="32250D83" w14:textId="4718C423" w:rsidR="006A5E55" w:rsidRPr="0098677A" w:rsidRDefault="00663A3E" w:rsidP="006A5E55">
      <w:pPr>
        <w:rPr>
          <w:rFonts w:ascii="Calibri" w:eastAsia="Times New Roman" w:hAnsi="Calibri" w:cs="Times New Roman"/>
          <w:color w:val="000000"/>
          <w:u w:val="single"/>
          <w:lang w:eastAsia="hr-HR"/>
        </w:rPr>
      </w:pPr>
      <w:r w:rsidRPr="0098677A">
        <w:rPr>
          <w:u w:val="single"/>
        </w:rPr>
        <w:t>Rashodi poslovanja</w:t>
      </w:r>
      <w:r w:rsidR="006A5E55" w:rsidRPr="0098677A">
        <w:rPr>
          <w:u w:val="single"/>
        </w:rPr>
        <w:t xml:space="preserve"> </w:t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C745F6">
        <w:rPr>
          <w:rFonts w:ascii="Calibri" w:eastAsia="Times New Roman" w:hAnsi="Calibri" w:cs="Times New Roman"/>
          <w:color w:val="000000"/>
          <w:u w:val="single"/>
          <w:lang w:eastAsia="hr-HR"/>
        </w:rPr>
        <w:t>12.</w:t>
      </w:r>
      <w:r w:rsidR="00F64D5C">
        <w:rPr>
          <w:rFonts w:ascii="Calibri" w:eastAsia="Times New Roman" w:hAnsi="Calibri" w:cs="Times New Roman"/>
          <w:color w:val="000000"/>
          <w:u w:val="single"/>
          <w:lang w:eastAsia="hr-HR"/>
        </w:rPr>
        <w:t>865.885,98</w:t>
      </w:r>
      <w:r w:rsidR="006A5E55" w:rsidRPr="0098677A">
        <w:rPr>
          <w:rFonts w:ascii="Calibri" w:eastAsia="Times New Roman" w:hAnsi="Calibri" w:cs="Times New Roman"/>
          <w:color w:val="000000"/>
          <w:u w:val="single"/>
          <w:lang w:eastAsia="hr-HR"/>
        </w:rPr>
        <w:t xml:space="preserve"> kn</w:t>
      </w:r>
    </w:p>
    <w:p w14:paraId="52843A46" w14:textId="7947DFC9" w:rsidR="00663A3E" w:rsidRDefault="00663A3E" w:rsidP="004154E0">
      <w:r>
        <w:t>Rez</w:t>
      </w:r>
      <w:r w:rsidR="006A5E55">
        <w:t>ultat: višak prihoda p</w:t>
      </w:r>
      <w:r w:rsidR="00C745F6">
        <w:t xml:space="preserve">oslovanja: </w:t>
      </w:r>
      <w:r w:rsidR="00C745F6">
        <w:tab/>
      </w:r>
      <w:r w:rsidR="00C745F6">
        <w:tab/>
      </w:r>
      <w:r w:rsidR="00C745F6">
        <w:tab/>
      </w:r>
      <w:r w:rsidR="00C745F6">
        <w:tab/>
      </w:r>
      <w:r w:rsidR="00C745F6">
        <w:tab/>
        <w:t xml:space="preserve">      </w:t>
      </w:r>
      <w:r w:rsidR="00F64D5C">
        <w:t>33.064,20</w:t>
      </w:r>
      <w:r w:rsidR="006A5E55">
        <w:t xml:space="preserve"> kn</w:t>
      </w:r>
    </w:p>
    <w:p w14:paraId="35BC678C" w14:textId="77777777" w:rsidR="00663A3E" w:rsidRDefault="00663A3E" w:rsidP="004154E0"/>
    <w:p w14:paraId="17DD30B7" w14:textId="77777777" w:rsidR="00663A3E" w:rsidRDefault="00663A3E" w:rsidP="004154E0">
      <w:r>
        <w:t>Prihodi od nefinancijske imovine</w:t>
      </w:r>
      <w:r w:rsidR="006A5E55">
        <w:t xml:space="preserve"> </w:t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>
        <w:tab/>
      </w:r>
      <w:r w:rsidR="006A5E55">
        <w:tab/>
        <w:t>0,00 kn</w:t>
      </w:r>
    </w:p>
    <w:p w14:paraId="1BA2A191" w14:textId="0B50AC1C" w:rsidR="00663A3E" w:rsidRPr="0098677A" w:rsidRDefault="00663A3E" w:rsidP="004154E0">
      <w:pPr>
        <w:rPr>
          <w:rFonts w:ascii="Calibri" w:eastAsia="Times New Roman" w:hAnsi="Calibri" w:cs="Times New Roman"/>
          <w:color w:val="000000"/>
          <w:u w:val="single"/>
          <w:lang w:eastAsia="hr-HR"/>
        </w:rPr>
      </w:pPr>
      <w:r w:rsidRPr="0098677A">
        <w:rPr>
          <w:u w:val="single"/>
        </w:rPr>
        <w:t>Rashodi od nefinancijske imovine</w:t>
      </w:r>
      <w:r w:rsidR="006A5E55" w:rsidRPr="0098677A">
        <w:rPr>
          <w:u w:val="single"/>
        </w:rPr>
        <w:t xml:space="preserve"> </w:t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</w:r>
      <w:r w:rsidR="006A5E55" w:rsidRPr="0098677A">
        <w:rPr>
          <w:u w:val="single"/>
        </w:rPr>
        <w:tab/>
        <w:t xml:space="preserve">    </w:t>
      </w:r>
      <w:r w:rsidR="00C745F6">
        <w:rPr>
          <w:rFonts w:ascii="Calibri" w:eastAsia="Times New Roman" w:hAnsi="Calibri" w:cs="Times New Roman"/>
          <w:color w:val="000000"/>
          <w:u w:val="single"/>
          <w:lang w:eastAsia="hr-HR"/>
        </w:rPr>
        <w:t xml:space="preserve"> </w:t>
      </w:r>
      <w:r w:rsidR="00F64D5C">
        <w:rPr>
          <w:rFonts w:ascii="Calibri" w:eastAsia="Times New Roman" w:hAnsi="Calibri" w:cs="Times New Roman"/>
          <w:color w:val="000000"/>
          <w:u w:val="single"/>
          <w:lang w:eastAsia="hr-HR"/>
        </w:rPr>
        <w:t>46.910,46</w:t>
      </w:r>
      <w:r w:rsidR="006A5E55" w:rsidRPr="0098677A">
        <w:rPr>
          <w:rFonts w:ascii="Calibri" w:eastAsia="Times New Roman" w:hAnsi="Calibri" w:cs="Times New Roman"/>
          <w:color w:val="000000"/>
          <w:u w:val="single"/>
          <w:lang w:eastAsia="hr-HR"/>
        </w:rPr>
        <w:t xml:space="preserve"> kn</w:t>
      </w:r>
    </w:p>
    <w:p w14:paraId="491CFD49" w14:textId="3AE9E8D3" w:rsidR="00663A3E" w:rsidRDefault="00663A3E" w:rsidP="004154E0">
      <w:r>
        <w:t>Rezultat: manjak prihoda od nefinancijske imovine</w:t>
      </w:r>
      <w:r w:rsidR="00F64D5C">
        <w:t xml:space="preserve"> </w:t>
      </w:r>
      <w:r w:rsidR="00F64D5C">
        <w:tab/>
      </w:r>
      <w:r w:rsidR="00F64D5C">
        <w:tab/>
      </w:r>
      <w:r w:rsidR="00F64D5C">
        <w:tab/>
        <w:t xml:space="preserve">     46.910,46</w:t>
      </w:r>
      <w:r w:rsidR="006A5E55">
        <w:t xml:space="preserve"> kn</w:t>
      </w:r>
    </w:p>
    <w:p w14:paraId="782DA98A" w14:textId="77777777" w:rsidR="00663A3E" w:rsidRDefault="00663A3E" w:rsidP="004154E0"/>
    <w:p w14:paraId="0ACE130A" w14:textId="609CFF13" w:rsidR="00663A3E" w:rsidRDefault="00663A3E" w:rsidP="004154E0">
      <w:r>
        <w:t>Višak prihoda poslovanja</w:t>
      </w:r>
      <w:r w:rsidR="006A5E55">
        <w:t xml:space="preserve"> </w:t>
      </w:r>
      <w:r w:rsidR="008870D1">
        <w:tab/>
      </w:r>
      <w:r w:rsidR="008870D1">
        <w:tab/>
      </w:r>
      <w:r w:rsidR="008870D1">
        <w:tab/>
      </w:r>
      <w:r w:rsidR="008870D1">
        <w:tab/>
      </w:r>
      <w:r w:rsidR="008870D1">
        <w:tab/>
      </w:r>
      <w:r w:rsidR="008870D1">
        <w:tab/>
      </w:r>
      <w:r w:rsidR="00F64D5C">
        <w:t xml:space="preserve">   </w:t>
      </w:r>
      <w:r w:rsidR="008870D1">
        <w:t xml:space="preserve">   </w:t>
      </w:r>
      <w:r w:rsidR="00F64D5C">
        <w:t>33.064,20</w:t>
      </w:r>
      <w:r w:rsidR="006A5E55">
        <w:t xml:space="preserve"> kn</w:t>
      </w:r>
    </w:p>
    <w:p w14:paraId="1EBD1C82" w14:textId="49E9DF05" w:rsidR="00663A3E" w:rsidRPr="0098677A" w:rsidRDefault="00663A3E" w:rsidP="004154E0">
      <w:pPr>
        <w:rPr>
          <w:u w:val="single"/>
        </w:rPr>
      </w:pPr>
      <w:r w:rsidRPr="0098677A">
        <w:rPr>
          <w:u w:val="single"/>
        </w:rPr>
        <w:t>-Manjak prihoda od nefinancijske imovine</w:t>
      </w:r>
      <w:r w:rsidR="006A5E55" w:rsidRPr="0098677A">
        <w:rPr>
          <w:u w:val="single"/>
        </w:rPr>
        <w:t xml:space="preserve"> </w:t>
      </w:r>
      <w:r w:rsidR="008870D1" w:rsidRPr="0098677A">
        <w:rPr>
          <w:u w:val="single"/>
        </w:rPr>
        <w:tab/>
      </w:r>
      <w:r w:rsidR="008870D1" w:rsidRPr="0098677A">
        <w:rPr>
          <w:u w:val="single"/>
        </w:rPr>
        <w:tab/>
      </w:r>
      <w:r w:rsidR="008870D1" w:rsidRPr="0098677A">
        <w:rPr>
          <w:u w:val="single"/>
        </w:rPr>
        <w:tab/>
      </w:r>
      <w:r w:rsidR="008870D1" w:rsidRPr="0098677A">
        <w:rPr>
          <w:u w:val="single"/>
        </w:rPr>
        <w:tab/>
        <w:t xml:space="preserve">     </w:t>
      </w:r>
      <w:r w:rsidR="00F64D5C">
        <w:rPr>
          <w:u w:val="single"/>
        </w:rPr>
        <w:t xml:space="preserve"> 46.910,46</w:t>
      </w:r>
      <w:r w:rsidR="006A5E55" w:rsidRPr="0098677A">
        <w:rPr>
          <w:u w:val="single"/>
        </w:rPr>
        <w:t xml:space="preserve"> kn</w:t>
      </w:r>
    </w:p>
    <w:p w14:paraId="57FB71B4" w14:textId="48538530" w:rsidR="00663A3E" w:rsidRDefault="00F64D5C" w:rsidP="004154E0">
      <w:r>
        <w:t>UKUPAN MANJAK</w:t>
      </w:r>
      <w:r w:rsidR="00663A3E">
        <w:t xml:space="preserve"> PRIHODA</w:t>
      </w:r>
      <w:r w:rsidR="008870D1">
        <w:t xml:space="preserve">: </w:t>
      </w:r>
      <w:r w:rsidR="006A5E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-13.846,26</w:t>
      </w:r>
      <w:r w:rsidR="008870D1">
        <w:t xml:space="preserve"> kn</w:t>
      </w:r>
      <w:r w:rsidR="007F5FE2">
        <w:t xml:space="preserve"> </w:t>
      </w:r>
    </w:p>
    <w:p w14:paraId="6445F55C" w14:textId="77777777" w:rsidR="00FB6D47" w:rsidRDefault="00FB6D47" w:rsidP="004154E0"/>
    <w:p w14:paraId="6AE2A4A2" w14:textId="4675BE8B" w:rsidR="008870D1" w:rsidRDefault="008870D1" w:rsidP="004154E0">
      <w:pPr>
        <w:rPr>
          <w:b/>
        </w:rPr>
      </w:pPr>
      <w:r w:rsidRPr="000A107B">
        <w:rPr>
          <w:b/>
        </w:rPr>
        <w:t>Rezultat poslovanja</w:t>
      </w:r>
      <w:r w:rsidR="00F64D5C">
        <w:rPr>
          <w:b/>
        </w:rPr>
        <w:t xml:space="preserve"> za 2021</w:t>
      </w:r>
      <w:r w:rsidR="00C745F6">
        <w:rPr>
          <w:b/>
        </w:rPr>
        <w:t>.g.</w:t>
      </w:r>
      <w:r w:rsidR="00F64D5C">
        <w:rPr>
          <w:b/>
        </w:rPr>
        <w:t>: Manjak</w:t>
      </w:r>
      <w:r w:rsidR="00C745F6">
        <w:rPr>
          <w:b/>
        </w:rPr>
        <w:t xml:space="preserve"> prihoda i primitaka </w:t>
      </w:r>
      <w:r w:rsidR="00F64D5C">
        <w:rPr>
          <w:b/>
        </w:rPr>
        <w:t>13.846,26</w:t>
      </w:r>
      <w:r w:rsidRPr="000A107B">
        <w:rPr>
          <w:b/>
        </w:rPr>
        <w:t xml:space="preserve"> kn</w:t>
      </w:r>
      <w:r w:rsidR="000F3C82">
        <w:rPr>
          <w:b/>
        </w:rPr>
        <w:t xml:space="preserve"> (AOP 409</w:t>
      </w:r>
      <w:r w:rsidR="007F5FE2">
        <w:rPr>
          <w:b/>
        </w:rPr>
        <w:t>)</w:t>
      </w:r>
    </w:p>
    <w:p w14:paraId="13D2CF5E" w14:textId="77777777" w:rsidR="00C745F6" w:rsidRDefault="00C745F6" w:rsidP="004154E0">
      <w:pPr>
        <w:rPr>
          <w:b/>
        </w:rPr>
      </w:pPr>
    </w:p>
    <w:p w14:paraId="196A0E03" w14:textId="77777777" w:rsidR="00C745F6" w:rsidRDefault="00C745F6" w:rsidP="004154E0">
      <w:pPr>
        <w:rPr>
          <w:b/>
        </w:rPr>
      </w:pPr>
      <w:r>
        <w:rPr>
          <w:b/>
        </w:rPr>
        <w:t>Utvrđivanje rezultata raspoloživog za sljedeće razdoblje:</w:t>
      </w:r>
    </w:p>
    <w:p w14:paraId="14A839CC" w14:textId="48D923A4" w:rsidR="00C745F6" w:rsidRPr="00C745F6" w:rsidRDefault="00F64D5C" w:rsidP="004154E0">
      <w:r>
        <w:t>Utvrđeni rezultat za 2021</w:t>
      </w:r>
      <w:r w:rsidR="00C745F6" w:rsidRPr="00C745F6">
        <w:t xml:space="preserve">.g.            </w:t>
      </w:r>
      <w:r>
        <w:t xml:space="preserve">  </w:t>
      </w:r>
      <w:r w:rsidR="00C745F6" w:rsidRPr="00C745F6">
        <w:t xml:space="preserve"> </w:t>
      </w:r>
      <w:r>
        <w:t>-13.846,26</w:t>
      </w:r>
      <w:r w:rsidR="00C745F6" w:rsidRPr="00C745F6">
        <w:t xml:space="preserve"> kn</w:t>
      </w:r>
    </w:p>
    <w:p w14:paraId="14BDFD23" w14:textId="3D270BF7" w:rsidR="00C745F6" w:rsidRPr="00C745F6" w:rsidRDefault="00F64D5C" w:rsidP="004154E0">
      <w:pPr>
        <w:rPr>
          <w:u w:val="single"/>
        </w:rPr>
      </w:pPr>
      <w:r>
        <w:rPr>
          <w:u w:val="single"/>
        </w:rPr>
        <w:t>Preneseni rezultat iz 2020.g.              359.031,03</w:t>
      </w:r>
      <w:r w:rsidR="00C745F6" w:rsidRPr="00C745F6">
        <w:rPr>
          <w:u w:val="single"/>
        </w:rPr>
        <w:t xml:space="preserve"> kn</w:t>
      </w:r>
    </w:p>
    <w:p w14:paraId="57A4D9C4" w14:textId="76CE2554" w:rsidR="00C745F6" w:rsidRPr="00C745F6" w:rsidRDefault="00C745F6" w:rsidP="004154E0">
      <w:pPr>
        <w:rPr>
          <w:b/>
          <w:u w:val="single"/>
        </w:rPr>
      </w:pPr>
      <w:r>
        <w:rPr>
          <w:b/>
          <w:u w:val="single"/>
        </w:rPr>
        <w:t xml:space="preserve">Višak prihoda i primitaka raspoloživ u sljedećem razdoblju: </w:t>
      </w:r>
      <w:r w:rsidR="00F64D5C">
        <w:rPr>
          <w:b/>
          <w:u w:val="single"/>
        </w:rPr>
        <w:t>345.184,77</w:t>
      </w:r>
      <w:r w:rsidR="000F3C82">
        <w:rPr>
          <w:b/>
          <w:u w:val="single"/>
        </w:rPr>
        <w:t xml:space="preserve">   (AOP 638</w:t>
      </w:r>
      <w:bookmarkStart w:id="0" w:name="_GoBack"/>
      <w:bookmarkEnd w:id="0"/>
      <w:r>
        <w:rPr>
          <w:b/>
          <w:u w:val="single"/>
        </w:rPr>
        <w:t>).</w:t>
      </w:r>
    </w:p>
    <w:p w14:paraId="6DE0927A" w14:textId="77777777" w:rsidR="00311242" w:rsidRDefault="00311242" w:rsidP="00502B2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bCs/>
          <w:lang w:eastAsia="hr-HR"/>
        </w:rPr>
      </w:pPr>
    </w:p>
    <w:p w14:paraId="6A431AED" w14:textId="2833FF94" w:rsidR="00502B2C" w:rsidRPr="00502B2C" w:rsidRDefault="00502B2C" w:rsidP="00502B2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lang w:eastAsia="hr-HR"/>
        </w:rPr>
      </w:pPr>
      <w:r w:rsidRPr="00502B2C">
        <w:rPr>
          <w:rFonts w:ascii="Calibri" w:eastAsia="Times New Roman" w:hAnsi="Calibri" w:cs="Times New Roman"/>
          <w:b/>
          <w:bCs/>
          <w:lang w:eastAsia="hr-HR"/>
        </w:rPr>
        <w:t>Bilješke uz Obrazac RAS-F</w:t>
      </w:r>
    </w:p>
    <w:p w14:paraId="2B6CF76D" w14:textId="117C66A8" w:rsidR="00502B2C" w:rsidRPr="00502B2C" w:rsidRDefault="002400A4" w:rsidP="00502B2C">
      <w:pPr>
        <w:shd w:val="clear" w:color="auto" w:fill="FFFFFF"/>
        <w:spacing w:line="235" w:lineRule="atLeas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b/>
          <w:bCs/>
          <w:lang w:eastAsia="hr-HR"/>
        </w:rPr>
        <w:lastRenderedPageBreak/>
        <w:t>Bilješka broj 17</w:t>
      </w:r>
      <w:r w:rsidR="00502B2C" w:rsidRPr="00502B2C">
        <w:rPr>
          <w:rFonts w:ascii="Calibri" w:eastAsia="Times New Roman" w:hAnsi="Calibri" w:cs="Times New Roman"/>
          <w:b/>
          <w:bCs/>
          <w:lang w:eastAsia="hr-HR"/>
        </w:rPr>
        <w:t xml:space="preserve"> - AOP 116 – Više srednjoškolsko obrazovanje</w:t>
      </w:r>
      <w:r w:rsidR="00502B2C" w:rsidRPr="00502B2C">
        <w:rPr>
          <w:rFonts w:ascii="Calibri" w:eastAsia="Times New Roman" w:hAnsi="Calibri" w:cs="Times New Roman"/>
          <w:lang w:eastAsia="hr-HR"/>
        </w:rPr>
        <w:t> – Izvještaj o rashodima prema funkcijskoj klasifikaciji sastavlja se na Obrascu: RAS-funkcijski. U obrascu su iskazani rashodi poslovanja i rashodi za nabavu nefinancijske imovine razvrstani prema njihovoj namjeni, a iskazani na poziciji AOP 404 Obrasca PR-RAS. Prema tumačenju Ministarstva znanost</w:t>
      </w:r>
      <w:r w:rsidR="009D0BF4">
        <w:rPr>
          <w:rFonts w:ascii="Calibri" w:eastAsia="Times New Roman" w:hAnsi="Calibri" w:cs="Times New Roman"/>
          <w:lang w:eastAsia="hr-HR"/>
        </w:rPr>
        <w:t>i i obrazovanja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 sv</w:t>
      </w:r>
      <w:r w:rsidR="009D0BF4">
        <w:rPr>
          <w:rFonts w:ascii="Calibri" w:eastAsia="Times New Roman" w:hAnsi="Calibri" w:cs="Times New Roman"/>
          <w:lang w:eastAsia="hr-HR"/>
        </w:rPr>
        <w:t>i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 rashod</w:t>
      </w:r>
      <w:r w:rsidR="009D0BF4">
        <w:rPr>
          <w:rFonts w:ascii="Calibri" w:eastAsia="Times New Roman" w:hAnsi="Calibri" w:cs="Times New Roman"/>
          <w:lang w:eastAsia="hr-HR"/>
        </w:rPr>
        <w:t>i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 ostvaren</w:t>
      </w:r>
      <w:r w:rsidR="009D0BF4">
        <w:rPr>
          <w:rFonts w:ascii="Calibri" w:eastAsia="Times New Roman" w:hAnsi="Calibri" w:cs="Times New Roman"/>
          <w:lang w:eastAsia="hr-HR"/>
        </w:rPr>
        <w:t>i</w:t>
      </w:r>
      <w:r w:rsidR="00F64D5C">
        <w:rPr>
          <w:rFonts w:ascii="Calibri" w:eastAsia="Times New Roman" w:hAnsi="Calibri" w:cs="Times New Roman"/>
          <w:lang w:eastAsia="hr-HR"/>
        </w:rPr>
        <w:t xml:space="preserve"> u 2021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.g. bez prenesenog rezultata iskazuju se na jednoj funkciji </w:t>
      </w:r>
      <w:r w:rsidR="00EB2D16">
        <w:rPr>
          <w:rFonts w:ascii="Calibri" w:eastAsia="Times New Roman" w:hAnsi="Calibri" w:cs="Times New Roman"/>
          <w:lang w:eastAsia="hr-HR"/>
        </w:rPr>
        <w:t xml:space="preserve">- 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0922 Više srednjoškolsko obrazovanje – </w:t>
      </w:r>
      <w:r w:rsidR="00F64D5C">
        <w:rPr>
          <w:rFonts w:ascii="Calibri" w:eastAsia="Times New Roman" w:hAnsi="Calibri" w:cs="Times New Roman"/>
          <w:lang w:eastAsia="hr-HR"/>
        </w:rPr>
        <w:t>12.912.796,44</w:t>
      </w:r>
      <w:r w:rsidR="00502B2C" w:rsidRPr="00502B2C">
        <w:rPr>
          <w:rFonts w:ascii="Calibri" w:eastAsia="Times New Roman" w:hAnsi="Calibri" w:cs="Times New Roman"/>
          <w:lang w:eastAsia="hr-HR"/>
        </w:rPr>
        <w:t xml:space="preserve"> kn.</w:t>
      </w:r>
    </w:p>
    <w:p w14:paraId="0E5CD7B5" w14:textId="77777777" w:rsidR="00502B2C" w:rsidRDefault="00502B2C" w:rsidP="004154E0"/>
    <w:p w14:paraId="1ACBFCB2" w14:textId="77777777" w:rsidR="004154E0" w:rsidRPr="007F5FE2" w:rsidRDefault="004154E0" w:rsidP="007F5FE2">
      <w:pPr>
        <w:jc w:val="center"/>
        <w:rPr>
          <w:b/>
        </w:rPr>
      </w:pPr>
      <w:r w:rsidRPr="000A107B">
        <w:rPr>
          <w:b/>
        </w:rPr>
        <w:t>Bilješke uz Obrazac PVRIO</w:t>
      </w:r>
    </w:p>
    <w:p w14:paraId="1EA9E626" w14:textId="098330B7" w:rsidR="004154E0" w:rsidRDefault="004154E0" w:rsidP="004154E0">
      <w:r w:rsidRPr="000A107B">
        <w:rPr>
          <w:b/>
        </w:rPr>
        <w:t xml:space="preserve">Bilješka broj </w:t>
      </w:r>
      <w:r w:rsidR="002400A4">
        <w:rPr>
          <w:b/>
        </w:rPr>
        <w:t>18</w:t>
      </w:r>
      <w:r w:rsidR="00EB2D16">
        <w:rPr>
          <w:b/>
        </w:rPr>
        <w:t xml:space="preserve"> </w:t>
      </w:r>
      <w:r w:rsidRPr="000A107B">
        <w:rPr>
          <w:b/>
        </w:rPr>
        <w:t xml:space="preserve">- </w:t>
      </w:r>
      <w:r w:rsidRPr="00EB2D16">
        <w:rPr>
          <w:bCs/>
        </w:rPr>
        <w:t>Obrazac PVRIO</w:t>
      </w:r>
      <w:r>
        <w:t xml:space="preserve"> prikazuje promjene u obujmu i vrijednosti imovine. Gimnazija „Matija Mesić“ nije zabilježila u poslovnim događajima promjene u</w:t>
      </w:r>
      <w:r w:rsidR="007F5FE2">
        <w:t xml:space="preserve"> vrijednosti i obujmu imovine. </w:t>
      </w:r>
    </w:p>
    <w:p w14:paraId="76EEFD18" w14:textId="77777777" w:rsidR="00CF1C3A" w:rsidRPr="00EB2D16" w:rsidRDefault="00CF1C3A" w:rsidP="00CF1C3A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lang w:eastAsia="hr-HR"/>
        </w:rPr>
      </w:pPr>
      <w:r w:rsidRPr="00EB2D16">
        <w:rPr>
          <w:rFonts w:ascii="Calibri" w:eastAsia="Times New Roman" w:hAnsi="Calibri" w:cs="Times New Roman"/>
          <w:b/>
          <w:lang w:eastAsia="hr-HR"/>
        </w:rPr>
        <w:t>Bilješke uz Obrazac OBVEZE</w:t>
      </w:r>
    </w:p>
    <w:p w14:paraId="497071E3" w14:textId="6357786F" w:rsidR="00CF1C3A" w:rsidRPr="00CF1C3A" w:rsidRDefault="00475063" w:rsidP="00CF1C3A">
      <w:pPr>
        <w:shd w:val="clear" w:color="auto" w:fill="FFFFFF"/>
        <w:spacing w:line="235" w:lineRule="atLeas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Bilješka broj 19</w:t>
      </w:r>
      <w:r w:rsidR="00CF1C3A" w:rsidRPr="00EB2D16">
        <w:rPr>
          <w:rFonts w:ascii="Calibri" w:eastAsia="Times New Roman" w:hAnsi="Calibri" w:cs="Times New Roman"/>
          <w:b/>
          <w:lang w:eastAsia="hr-HR"/>
        </w:rPr>
        <w:t xml:space="preserve"> - AOP 001 – Stanje obveza 1. siječnja</w:t>
      </w:r>
      <w:r w:rsidR="00CF1C3A" w:rsidRPr="00CF1C3A">
        <w:rPr>
          <w:rFonts w:ascii="Calibri" w:eastAsia="Times New Roman" w:hAnsi="Calibri" w:cs="Times New Roman"/>
          <w:lang w:eastAsia="hr-HR"/>
        </w:rPr>
        <w:t> –</w:t>
      </w:r>
      <w:r w:rsidR="00CF1C3A" w:rsidRPr="002C595F">
        <w:rPr>
          <w:rFonts w:ascii="Calibri" w:eastAsia="Times New Roman" w:hAnsi="Calibri" w:cs="Times New Roman"/>
          <w:lang w:eastAsia="hr-HR"/>
        </w:rPr>
        <w:t xml:space="preserve"> </w:t>
      </w:r>
      <w:r w:rsidR="00CF1C3A" w:rsidRPr="00CF1C3A">
        <w:rPr>
          <w:rFonts w:ascii="Calibri" w:eastAsia="Times New Roman" w:hAnsi="Calibri" w:cs="Times New Roman"/>
          <w:lang w:eastAsia="hr-HR"/>
        </w:rPr>
        <w:t>Stanje obveza na početku izvještajnog razdob</w:t>
      </w:r>
      <w:r w:rsidR="00CF1C3A" w:rsidRPr="002C595F">
        <w:rPr>
          <w:rFonts w:ascii="Calibri" w:eastAsia="Times New Roman" w:hAnsi="Calibri" w:cs="Times New Roman"/>
          <w:lang w:eastAsia="hr-HR"/>
        </w:rPr>
        <w:t xml:space="preserve">lja iznosilo je </w:t>
      </w:r>
      <w:r w:rsidR="002400A4">
        <w:rPr>
          <w:rFonts w:ascii="Calibri" w:eastAsia="Times New Roman" w:hAnsi="Calibri" w:cs="Times New Roman"/>
          <w:lang w:eastAsia="hr-HR"/>
        </w:rPr>
        <w:t>1.073.946,00</w:t>
      </w:r>
      <w:r w:rsidR="00CF1C3A" w:rsidRPr="002C595F">
        <w:rPr>
          <w:rFonts w:ascii="Calibri" w:eastAsia="Times New Roman" w:hAnsi="Calibri" w:cs="Times New Roman"/>
          <w:lang w:eastAsia="hr-HR"/>
        </w:rPr>
        <w:t xml:space="preserve"> kn te je preuzeto iz Izvještaja o obvezama za prethodno razdob</w:t>
      </w:r>
      <w:r w:rsidR="002400A4">
        <w:rPr>
          <w:rFonts w:ascii="Calibri" w:eastAsia="Times New Roman" w:hAnsi="Calibri" w:cs="Times New Roman"/>
          <w:lang w:eastAsia="hr-HR"/>
        </w:rPr>
        <w:t>lje s AOP-a 036 predanog za 2020</w:t>
      </w:r>
      <w:r w:rsidR="00CF1C3A" w:rsidRPr="002C595F">
        <w:rPr>
          <w:rFonts w:ascii="Calibri" w:eastAsia="Times New Roman" w:hAnsi="Calibri" w:cs="Times New Roman"/>
          <w:lang w:eastAsia="hr-HR"/>
        </w:rPr>
        <w:t>.g. kao stanje obveza na kraju izvještajnog razdoblja.</w:t>
      </w:r>
    </w:p>
    <w:p w14:paraId="79CDE827" w14:textId="71EC101D" w:rsidR="003228F6" w:rsidRPr="002C595F" w:rsidRDefault="00475063" w:rsidP="00CF1C3A">
      <w:pPr>
        <w:shd w:val="clear" w:color="auto" w:fill="FFFFFF"/>
        <w:spacing w:line="235" w:lineRule="atLeas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Bilješka broj 20</w:t>
      </w:r>
      <w:r w:rsidR="00CF1C3A" w:rsidRPr="00EB2D16">
        <w:rPr>
          <w:rFonts w:ascii="Calibri" w:eastAsia="Times New Roman" w:hAnsi="Calibri" w:cs="Times New Roman"/>
          <w:b/>
          <w:lang w:eastAsia="hr-HR"/>
        </w:rPr>
        <w:t>- AOP 036 – Stanje obveza na kraju izvještajnog razdoblja</w:t>
      </w:r>
      <w:r w:rsidR="002400A4">
        <w:rPr>
          <w:rFonts w:ascii="Calibri" w:eastAsia="Times New Roman" w:hAnsi="Calibri" w:cs="Times New Roman"/>
          <w:lang w:eastAsia="hr-HR"/>
        </w:rPr>
        <w:t> – Stanje obveza na kraju 2021</w:t>
      </w:r>
      <w:r w:rsidR="00CF1C3A" w:rsidRPr="00CF1C3A">
        <w:rPr>
          <w:rFonts w:ascii="Calibri" w:eastAsia="Times New Roman" w:hAnsi="Calibri" w:cs="Times New Roman"/>
          <w:lang w:eastAsia="hr-HR"/>
        </w:rPr>
        <w:t>.g. iznosi 1</w:t>
      </w:r>
      <w:r w:rsidR="002400A4">
        <w:rPr>
          <w:rFonts w:ascii="Calibri" w:eastAsia="Times New Roman" w:hAnsi="Calibri" w:cs="Times New Roman"/>
          <w:lang w:eastAsia="hr-HR"/>
        </w:rPr>
        <w:t xml:space="preserve">.153.377,00 </w:t>
      </w:r>
      <w:r w:rsidR="00CF1C3A" w:rsidRPr="00CF1C3A">
        <w:rPr>
          <w:rFonts w:ascii="Calibri" w:eastAsia="Times New Roman" w:hAnsi="Calibri" w:cs="Times New Roman"/>
          <w:lang w:eastAsia="hr-HR"/>
        </w:rPr>
        <w:t>kn kao što je p</w:t>
      </w:r>
      <w:r w:rsidR="002400A4">
        <w:rPr>
          <w:rFonts w:ascii="Calibri" w:eastAsia="Times New Roman" w:hAnsi="Calibri" w:cs="Times New Roman"/>
          <w:lang w:eastAsia="hr-HR"/>
        </w:rPr>
        <w:t>rikazano na obrascu na AOP-u 038</w:t>
      </w:r>
      <w:r w:rsidR="00CF1C3A" w:rsidRPr="00CF1C3A">
        <w:rPr>
          <w:rFonts w:ascii="Calibri" w:eastAsia="Times New Roman" w:hAnsi="Calibri" w:cs="Times New Roman"/>
          <w:lang w:eastAsia="hr-HR"/>
        </w:rPr>
        <w:t>, a jednako stanje iskazano je</w:t>
      </w:r>
      <w:r w:rsidR="002400A4">
        <w:rPr>
          <w:rFonts w:ascii="Calibri" w:eastAsia="Times New Roman" w:hAnsi="Calibri" w:cs="Times New Roman"/>
          <w:lang w:eastAsia="hr-HR"/>
        </w:rPr>
        <w:t xml:space="preserve"> i u obrascu Bilanca na AOP-u 170. Na dan 31.12.2021</w:t>
      </w:r>
      <w:r w:rsidR="00CF1C3A" w:rsidRPr="00CF1C3A">
        <w:rPr>
          <w:rFonts w:ascii="Calibri" w:eastAsia="Times New Roman" w:hAnsi="Calibri" w:cs="Times New Roman"/>
          <w:lang w:eastAsia="hr-HR"/>
        </w:rPr>
        <w:t xml:space="preserve">.g. obveze za rashode dospjele su u vrijednosti </w:t>
      </w:r>
      <w:r w:rsidR="002400A4">
        <w:rPr>
          <w:rFonts w:ascii="Calibri" w:eastAsia="Times New Roman" w:hAnsi="Calibri" w:cs="Times New Roman"/>
          <w:lang w:eastAsia="hr-HR"/>
        </w:rPr>
        <w:t>5.810</w:t>
      </w:r>
      <w:r w:rsidR="00CF1C3A" w:rsidRPr="00CF1C3A">
        <w:rPr>
          <w:rFonts w:ascii="Calibri" w:eastAsia="Times New Roman" w:hAnsi="Calibri" w:cs="Times New Roman"/>
          <w:lang w:eastAsia="hr-HR"/>
        </w:rPr>
        <w:t>,00 kn te se kao takve odnose na kašnjenje do 60 dana.</w:t>
      </w:r>
      <w:r w:rsidR="00CF1C3A" w:rsidRPr="002C595F">
        <w:rPr>
          <w:rFonts w:ascii="Calibri" w:eastAsia="Times New Roman" w:hAnsi="Calibri" w:cs="Times New Roman"/>
          <w:lang w:eastAsia="hr-HR"/>
        </w:rPr>
        <w:t xml:space="preserve"> Riječ je o jedn</w:t>
      </w:r>
      <w:r w:rsidR="00A82D81">
        <w:rPr>
          <w:rFonts w:ascii="Calibri" w:eastAsia="Times New Roman" w:hAnsi="Calibri" w:cs="Times New Roman"/>
          <w:lang w:eastAsia="hr-HR"/>
        </w:rPr>
        <w:t>oj obvezi za materijalne rashode</w:t>
      </w:r>
      <w:r w:rsidR="002400A4">
        <w:rPr>
          <w:rFonts w:ascii="Calibri" w:eastAsia="Times New Roman" w:hAnsi="Calibri" w:cs="Times New Roman"/>
          <w:lang w:eastAsia="hr-HR"/>
        </w:rPr>
        <w:t xml:space="preserve"> uz kašnjenje od 2</w:t>
      </w:r>
      <w:r w:rsidR="00CF1C3A" w:rsidRPr="002C595F">
        <w:rPr>
          <w:rFonts w:ascii="Calibri" w:eastAsia="Times New Roman" w:hAnsi="Calibri" w:cs="Times New Roman"/>
          <w:lang w:eastAsia="hr-HR"/>
        </w:rPr>
        <w:t xml:space="preserve"> dan</w:t>
      </w:r>
      <w:r w:rsidR="002400A4">
        <w:rPr>
          <w:rFonts w:ascii="Calibri" w:eastAsia="Times New Roman" w:hAnsi="Calibri" w:cs="Times New Roman"/>
          <w:lang w:eastAsia="hr-HR"/>
        </w:rPr>
        <w:t>a</w:t>
      </w:r>
      <w:r w:rsidR="00CF1C3A" w:rsidRPr="002C595F">
        <w:rPr>
          <w:rFonts w:ascii="Calibri" w:eastAsia="Times New Roman" w:hAnsi="Calibri" w:cs="Times New Roman"/>
          <w:lang w:eastAsia="hr-HR"/>
        </w:rPr>
        <w:t>.</w:t>
      </w:r>
      <w:r w:rsidR="00CF1C3A" w:rsidRPr="00CF1C3A">
        <w:rPr>
          <w:rFonts w:ascii="Calibri" w:eastAsia="Times New Roman" w:hAnsi="Calibri" w:cs="Times New Roman"/>
          <w:lang w:eastAsia="hr-HR"/>
        </w:rPr>
        <w:t> </w:t>
      </w:r>
    </w:p>
    <w:p w14:paraId="6B502670" w14:textId="77777777" w:rsidR="003228F6" w:rsidRDefault="003228F6" w:rsidP="004154E0">
      <w:r>
        <w:t xml:space="preserve">S poštovanjem, </w:t>
      </w:r>
    </w:p>
    <w:p w14:paraId="7CDF83B4" w14:textId="77777777" w:rsidR="003228F6" w:rsidRDefault="003228F6" w:rsidP="004154E0"/>
    <w:p w14:paraId="25CC9BAF" w14:textId="120E1EF8" w:rsidR="003228F6" w:rsidRDefault="00B8178B" w:rsidP="000A107B">
      <w:pPr>
        <w:ind w:left="4248"/>
        <w:jc w:val="center"/>
      </w:pPr>
      <w:r>
        <w:t>Ravnateljica:</w:t>
      </w:r>
    </w:p>
    <w:p w14:paraId="357D55D4" w14:textId="7FD957A3" w:rsidR="003228F6" w:rsidRDefault="00B8178B" w:rsidP="000A107B">
      <w:pPr>
        <w:ind w:left="4248"/>
        <w:jc w:val="center"/>
      </w:pPr>
      <w:r>
        <w:t xml:space="preserve">Lucija </w:t>
      </w:r>
      <w:proofErr w:type="spellStart"/>
      <w:r>
        <w:t>Brnić</w:t>
      </w:r>
      <w:proofErr w:type="spellEnd"/>
      <w:r>
        <w:t>, dipl. pedagog</w:t>
      </w:r>
    </w:p>
    <w:p w14:paraId="245263E9" w14:textId="77777777" w:rsidR="003228F6" w:rsidRDefault="003228F6" w:rsidP="000A107B">
      <w:pPr>
        <w:ind w:left="4248"/>
        <w:jc w:val="center"/>
      </w:pPr>
    </w:p>
    <w:p w14:paraId="07CF9679" w14:textId="77777777" w:rsidR="003228F6" w:rsidRDefault="003228F6" w:rsidP="000A107B">
      <w:pPr>
        <w:ind w:left="4248"/>
        <w:jc w:val="center"/>
      </w:pPr>
      <w:r>
        <w:t>_________________________________________</w:t>
      </w:r>
    </w:p>
    <w:sectPr w:rsidR="0032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5B5"/>
    <w:multiLevelType w:val="hybridMultilevel"/>
    <w:tmpl w:val="6E3A2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6A1"/>
    <w:multiLevelType w:val="hybridMultilevel"/>
    <w:tmpl w:val="6A34B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684C"/>
    <w:multiLevelType w:val="hybridMultilevel"/>
    <w:tmpl w:val="C480E170"/>
    <w:lvl w:ilvl="0" w:tplc="2B46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F"/>
    <w:rsid w:val="00037F60"/>
    <w:rsid w:val="00057696"/>
    <w:rsid w:val="00097027"/>
    <w:rsid w:val="000974D9"/>
    <w:rsid w:val="000A107B"/>
    <w:rsid w:val="000B6A38"/>
    <w:rsid w:val="000F3C82"/>
    <w:rsid w:val="0010194F"/>
    <w:rsid w:val="00125D78"/>
    <w:rsid w:val="00140476"/>
    <w:rsid w:val="00153549"/>
    <w:rsid w:val="00157A92"/>
    <w:rsid w:val="00157B28"/>
    <w:rsid w:val="0016086A"/>
    <w:rsid w:val="00170F5B"/>
    <w:rsid w:val="00181935"/>
    <w:rsid w:val="001A6A26"/>
    <w:rsid w:val="001B2968"/>
    <w:rsid w:val="001F67C3"/>
    <w:rsid w:val="00236776"/>
    <w:rsid w:val="002400A4"/>
    <w:rsid w:val="00283A3D"/>
    <w:rsid w:val="002A4D5C"/>
    <w:rsid w:val="002B11DF"/>
    <w:rsid w:val="002B3EB3"/>
    <w:rsid w:val="002C595F"/>
    <w:rsid w:val="002F2F1E"/>
    <w:rsid w:val="00311242"/>
    <w:rsid w:val="0031493F"/>
    <w:rsid w:val="003228F6"/>
    <w:rsid w:val="00357FB1"/>
    <w:rsid w:val="0036306D"/>
    <w:rsid w:val="003C3C0C"/>
    <w:rsid w:val="003D1F5A"/>
    <w:rsid w:val="003F76BF"/>
    <w:rsid w:val="004154E0"/>
    <w:rsid w:val="00475063"/>
    <w:rsid w:val="004777D5"/>
    <w:rsid w:val="00477CCD"/>
    <w:rsid w:val="00494FF0"/>
    <w:rsid w:val="004B109B"/>
    <w:rsid w:val="004C4F37"/>
    <w:rsid w:val="004D0EFE"/>
    <w:rsid w:val="00502B2C"/>
    <w:rsid w:val="00516538"/>
    <w:rsid w:val="00526013"/>
    <w:rsid w:val="00540FFD"/>
    <w:rsid w:val="00594AE0"/>
    <w:rsid w:val="005A7C2C"/>
    <w:rsid w:val="005F2CBD"/>
    <w:rsid w:val="006128B4"/>
    <w:rsid w:val="00641840"/>
    <w:rsid w:val="00663A3E"/>
    <w:rsid w:val="006777BD"/>
    <w:rsid w:val="00681BD0"/>
    <w:rsid w:val="006A3A41"/>
    <w:rsid w:val="006A5E55"/>
    <w:rsid w:val="006B4C63"/>
    <w:rsid w:val="006E0742"/>
    <w:rsid w:val="00745D70"/>
    <w:rsid w:val="007C366C"/>
    <w:rsid w:val="007C7960"/>
    <w:rsid w:val="007D3206"/>
    <w:rsid w:val="007E31D3"/>
    <w:rsid w:val="007F5FE2"/>
    <w:rsid w:val="00813177"/>
    <w:rsid w:val="00844982"/>
    <w:rsid w:val="00861BDD"/>
    <w:rsid w:val="00874584"/>
    <w:rsid w:val="00883B8D"/>
    <w:rsid w:val="008870D1"/>
    <w:rsid w:val="00892208"/>
    <w:rsid w:val="008A295F"/>
    <w:rsid w:val="008B0713"/>
    <w:rsid w:val="008C1A18"/>
    <w:rsid w:val="008E0E26"/>
    <w:rsid w:val="008E7676"/>
    <w:rsid w:val="00916F98"/>
    <w:rsid w:val="009814F0"/>
    <w:rsid w:val="0098677A"/>
    <w:rsid w:val="00991D15"/>
    <w:rsid w:val="009D0BF4"/>
    <w:rsid w:val="00A23E92"/>
    <w:rsid w:val="00A65B09"/>
    <w:rsid w:val="00A765F3"/>
    <w:rsid w:val="00A82D81"/>
    <w:rsid w:val="00AE7F17"/>
    <w:rsid w:val="00AF1A5A"/>
    <w:rsid w:val="00B20C9F"/>
    <w:rsid w:val="00B3500D"/>
    <w:rsid w:val="00B713B1"/>
    <w:rsid w:val="00B8178B"/>
    <w:rsid w:val="00B921D3"/>
    <w:rsid w:val="00C41B6C"/>
    <w:rsid w:val="00C46DA7"/>
    <w:rsid w:val="00C70525"/>
    <w:rsid w:val="00C745F6"/>
    <w:rsid w:val="00CA0894"/>
    <w:rsid w:val="00CD31AE"/>
    <w:rsid w:val="00CF1C3A"/>
    <w:rsid w:val="00D027DC"/>
    <w:rsid w:val="00D1279F"/>
    <w:rsid w:val="00D14306"/>
    <w:rsid w:val="00D1738B"/>
    <w:rsid w:val="00D84923"/>
    <w:rsid w:val="00E5772A"/>
    <w:rsid w:val="00E9393D"/>
    <w:rsid w:val="00EA1EBD"/>
    <w:rsid w:val="00EB2D16"/>
    <w:rsid w:val="00F64D5C"/>
    <w:rsid w:val="00FB6D47"/>
    <w:rsid w:val="00FB7B8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F73F"/>
  <w15:chartTrackingRefBased/>
  <w15:docId w15:val="{7CEBBCE4-C52A-4F04-8525-D470D86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4E0"/>
    <w:pPr>
      <w:ind w:left="720"/>
      <w:contextualSpacing/>
    </w:pPr>
  </w:style>
  <w:style w:type="table" w:styleId="Reetkatablice">
    <w:name w:val="Table Grid"/>
    <w:basedOn w:val="Obinatablica"/>
    <w:uiPriority w:val="39"/>
    <w:rsid w:val="00D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2021-01-29T08:59:00Z</cp:lastPrinted>
  <dcterms:created xsi:type="dcterms:W3CDTF">2022-01-26T11:37:00Z</dcterms:created>
  <dcterms:modified xsi:type="dcterms:W3CDTF">2022-01-26T16:19:00Z</dcterms:modified>
</cp:coreProperties>
</file>