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A6" w:rsidRPr="00CB392E" w:rsidRDefault="009D3448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REPUBLIKA HRVATSKA</w:t>
      </w:r>
      <w:r w:rsidR="00CB392E" w:rsidRPr="00CB392E">
        <w:rPr>
          <w:b/>
          <w:sz w:val="24"/>
          <w:szCs w:val="24"/>
        </w:rPr>
        <w:t xml:space="preserve">         RKP: </w:t>
      </w:r>
      <w:r w:rsidR="00646F56" w:rsidRPr="00CB392E">
        <w:rPr>
          <w:b/>
          <w:sz w:val="24"/>
          <w:szCs w:val="24"/>
        </w:rPr>
        <w:t>12606</w:t>
      </w:r>
    </w:p>
    <w:p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ŽUPANIJA SPLITSKO-DALMATINSKA                            MATIČNI BROJ: 03067700</w:t>
      </w:r>
    </w:p>
    <w:p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GRAD SINJ                                                                          ŠIFRA DJELATNOSTI: 8532</w:t>
      </w:r>
    </w:p>
    <w:p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OGŠ JAKOVA GOTOVCA SINJ                                     </w:t>
      </w:r>
      <w:r w:rsidR="00CB392E" w:rsidRPr="00CB392E">
        <w:rPr>
          <w:b/>
          <w:sz w:val="24"/>
          <w:szCs w:val="24"/>
        </w:rPr>
        <w:t xml:space="preserve">     RAZINA: </w:t>
      </w:r>
      <w:r w:rsidRPr="00CB392E">
        <w:rPr>
          <w:b/>
          <w:sz w:val="24"/>
          <w:szCs w:val="24"/>
        </w:rPr>
        <w:t>31</w:t>
      </w:r>
    </w:p>
    <w:p w:rsidR="00646F56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21230 SINJ, ALKARSKO TRKALIŠTE 11A                        OI</w:t>
      </w:r>
      <w:r w:rsidR="00CB392E" w:rsidRPr="00CB392E">
        <w:rPr>
          <w:b/>
          <w:sz w:val="24"/>
          <w:szCs w:val="24"/>
        </w:rPr>
        <w:t xml:space="preserve">B: </w:t>
      </w:r>
      <w:r w:rsidRPr="00CB392E">
        <w:rPr>
          <w:b/>
          <w:sz w:val="24"/>
          <w:szCs w:val="24"/>
        </w:rPr>
        <w:t xml:space="preserve">75731071140        </w:t>
      </w:r>
    </w:p>
    <w:p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                                                                                              IBAN:HR6223300031100061522  </w:t>
      </w:r>
    </w:p>
    <w:p w:rsidR="00CB1FC6" w:rsidRDefault="00CB1FC6" w:rsidP="00A67292">
      <w:pPr>
        <w:spacing w:after="0"/>
        <w:rPr>
          <w:b/>
          <w:sz w:val="24"/>
          <w:szCs w:val="24"/>
        </w:rPr>
      </w:pPr>
    </w:p>
    <w:p w:rsidR="00CB392E" w:rsidRPr="00CB392E" w:rsidRDefault="00CB392E" w:rsidP="00A67292">
      <w:pPr>
        <w:spacing w:after="0"/>
        <w:rPr>
          <w:b/>
          <w:sz w:val="24"/>
          <w:szCs w:val="24"/>
        </w:rPr>
      </w:pPr>
    </w:p>
    <w:p w:rsidR="009D3448" w:rsidRPr="009D3448" w:rsidRDefault="009D3448" w:rsidP="00051447">
      <w:pPr>
        <w:spacing w:after="120"/>
        <w:jc w:val="center"/>
        <w:rPr>
          <w:b/>
          <w:sz w:val="28"/>
          <w:szCs w:val="28"/>
        </w:rPr>
      </w:pPr>
      <w:r w:rsidRPr="009D3448">
        <w:rPr>
          <w:b/>
          <w:sz w:val="28"/>
          <w:szCs w:val="28"/>
        </w:rPr>
        <w:t>BILJEŠKE</w:t>
      </w:r>
      <w:r w:rsidR="00CB392E">
        <w:rPr>
          <w:b/>
          <w:sz w:val="28"/>
          <w:szCs w:val="28"/>
        </w:rPr>
        <w:t xml:space="preserve"> UZ FINANCIJSKE IZVJEŠTAJE</w:t>
      </w:r>
    </w:p>
    <w:p w:rsidR="005D57D1" w:rsidRPr="00CB392E" w:rsidRDefault="009D3448" w:rsidP="00051447">
      <w:pPr>
        <w:spacing w:after="120"/>
        <w:jc w:val="center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za razdoblje od 1.siječ</w:t>
      </w:r>
      <w:r w:rsidR="00082CB6" w:rsidRPr="00CB392E">
        <w:rPr>
          <w:b/>
          <w:sz w:val="24"/>
          <w:szCs w:val="24"/>
        </w:rPr>
        <w:t>nja do 31. prosinca 201</w:t>
      </w:r>
      <w:r w:rsidR="0058261F">
        <w:rPr>
          <w:b/>
          <w:sz w:val="24"/>
          <w:szCs w:val="24"/>
        </w:rPr>
        <w:t>7</w:t>
      </w:r>
      <w:r w:rsidR="005D57D1" w:rsidRPr="00CB392E">
        <w:rPr>
          <w:b/>
          <w:sz w:val="24"/>
          <w:szCs w:val="24"/>
        </w:rPr>
        <w:t>. godine</w:t>
      </w:r>
    </w:p>
    <w:p w:rsidR="005D57D1" w:rsidRDefault="005D57D1" w:rsidP="00051447">
      <w:pPr>
        <w:spacing w:after="120"/>
        <w:jc w:val="center"/>
        <w:rPr>
          <w:b/>
        </w:rPr>
      </w:pPr>
    </w:p>
    <w:p w:rsidR="00CA1462" w:rsidRDefault="005D57D1" w:rsidP="00051447">
      <w:pPr>
        <w:spacing w:after="120"/>
      </w:pPr>
      <w:r w:rsidRPr="005D57D1">
        <w:t>Sukladno članku 13. Pravilnika o financijskom izvještavanju u proračunskom računovodstvu ( NN</w:t>
      </w:r>
      <w:r>
        <w:t xml:space="preserve"> br. 3/15., 93/15.,135/15.</w:t>
      </w:r>
      <w:r w:rsidR="0058261F">
        <w:t>, 2/17. i 28/17.</w:t>
      </w:r>
      <w:r w:rsidR="00082CB6">
        <w:t>)</w:t>
      </w:r>
      <w:r>
        <w:t xml:space="preserve"> Bilješke su sastavni dio financijskog izvještaja proračuna i proračunskih korisnika.</w:t>
      </w:r>
    </w:p>
    <w:p w:rsidR="00E95EA7" w:rsidRPr="00C253B4" w:rsidRDefault="002E3B5B" w:rsidP="0005144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BILANCU </w:t>
      </w:r>
      <w:r w:rsidR="00273361" w:rsidRPr="00C253B4">
        <w:rPr>
          <w:b/>
          <w:sz w:val="24"/>
          <w:szCs w:val="24"/>
        </w:rPr>
        <w:t>- Obrazac BIL</w:t>
      </w:r>
    </w:p>
    <w:p w:rsidR="00FA0D2B" w:rsidRPr="00C253B4" w:rsidRDefault="005D57D1" w:rsidP="00051447">
      <w:pPr>
        <w:spacing w:after="120"/>
        <w:rPr>
          <w:b/>
          <w:sz w:val="24"/>
          <w:szCs w:val="24"/>
        </w:rPr>
      </w:pPr>
      <w:r w:rsidRPr="00C253B4">
        <w:rPr>
          <w:b/>
          <w:sz w:val="24"/>
          <w:szCs w:val="24"/>
        </w:rPr>
        <w:t>Bilješka uz AOP 002-Nefinancijska imovina</w:t>
      </w:r>
    </w:p>
    <w:tbl>
      <w:tblPr>
        <w:tblStyle w:val="Srednjipopis2-Isticanje1"/>
        <w:tblW w:w="513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555"/>
        <w:gridCol w:w="3042"/>
        <w:gridCol w:w="632"/>
        <w:gridCol w:w="1553"/>
        <w:gridCol w:w="1412"/>
        <w:gridCol w:w="1347"/>
      </w:tblGrid>
      <w:tr w:rsidR="00522B4C" w:rsidRPr="00A67292" w:rsidTr="00117B64">
        <w:trPr>
          <w:cnfStyle w:val="100000000000"/>
          <w:trHeight w:val="1144"/>
        </w:trPr>
        <w:tc>
          <w:tcPr>
            <w:cnfStyle w:val="001000000100"/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</w:t>
            </w:r>
            <w:r w:rsidR="003341C3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n</w:t>
            </w: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iz</w:t>
            </w:r>
          </w:p>
          <w:p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082CB6" w:rsidP="0058261F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1.siječnja 201</w:t>
            </w:r>
            <w:r w:rsidR="0058261F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522B4C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58261F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Stanje 31. </w:t>
            </w:r>
            <w:r w:rsidR="00082CB6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prosinca 201</w:t>
            </w:r>
            <w:r w:rsidR="0058261F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F27C23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</w:t>
            </w:r>
          </w:p>
          <w:p w:rsidR="00522B4C" w:rsidRPr="00A67292" w:rsidRDefault="00522B4C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(5/4)</w:t>
            </w:r>
          </w:p>
        </w:tc>
      </w:tr>
      <w:tr w:rsidR="00522B4C" w:rsidRPr="00A67292" w:rsidTr="00117B64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22B4C" w:rsidRPr="00A67292" w:rsidRDefault="00522B4C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522B4C" w:rsidRPr="00A67292" w:rsidTr="00117B64">
        <w:trPr>
          <w:trHeight w:val="457"/>
        </w:trPr>
        <w:tc>
          <w:tcPr>
            <w:cnfStyle w:val="001000000000"/>
            <w:tcW w:w="8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275C42" w:rsidRDefault="00E159EE" w:rsidP="00A67292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275C42">
              <w:rPr>
                <w:rFonts w:asciiTheme="minorHAnsi" w:hAnsiTheme="minorHAnsi"/>
                <w:b/>
              </w:rPr>
              <w:t>022/02922</w:t>
            </w:r>
          </w:p>
          <w:p w:rsidR="00522B4C" w:rsidRPr="00275C42" w:rsidRDefault="00522B4C" w:rsidP="00A67292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594" w:type="pct"/>
            <w:vAlign w:val="center"/>
          </w:tcPr>
          <w:p w:rsidR="00522B4C" w:rsidRPr="00275C42" w:rsidRDefault="00E159EE" w:rsidP="00C253B4">
            <w:pPr>
              <w:spacing w:after="120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>Postrojenja i oprema</w:t>
            </w:r>
          </w:p>
        </w:tc>
        <w:tc>
          <w:tcPr>
            <w:tcW w:w="331" w:type="pct"/>
            <w:vAlign w:val="center"/>
          </w:tcPr>
          <w:p w:rsidR="00522B4C" w:rsidRPr="00275C42" w:rsidRDefault="00E159EE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>014</w:t>
            </w:r>
          </w:p>
        </w:tc>
        <w:tc>
          <w:tcPr>
            <w:tcW w:w="814" w:type="pct"/>
            <w:vAlign w:val="center"/>
          </w:tcPr>
          <w:p w:rsidR="00522B4C" w:rsidRPr="00275C42" w:rsidRDefault="0058261F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 xml:space="preserve">331.975  </w:t>
            </w:r>
          </w:p>
        </w:tc>
        <w:tc>
          <w:tcPr>
            <w:tcW w:w="740" w:type="pct"/>
            <w:vAlign w:val="center"/>
          </w:tcPr>
          <w:p w:rsidR="00522B4C" w:rsidRPr="00275C42" w:rsidRDefault="0058261F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>327.490</w:t>
            </w:r>
          </w:p>
        </w:tc>
        <w:tc>
          <w:tcPr>
            <w:tcW w:w="706" w:type="pct"/>
            <w:vAlign w:val="center"/>
          </w:tcPr>
          <w:p w:rsidR="00522B4C" w:rsidRPr="00275C42" w:rsidRDefault="002D4174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>98,6</w:t>
            </w:r>
          </w:p>
        </w:tc>
      </w:tr>
      <w:tr w:rsidR="00E159EE" w:rsidRPr="00A67292" w:rsidTr="00117B64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5A3221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0221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5A3221" w:rsidP="00C253B4">
            <w:pPr>
              <w:spacing w:after="120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Uredska oprema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5A322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015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F9595A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278.900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295.907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106,1</w:t>
            </w:r>
          </w:p>
        </w:tc>
      </w:tr>
      <w:tr w:rsidR="00E159EE" w:rsidRPr="00A67292" w:rsidTr="00117B64">
        <w:trPr>
          <w:trHeight w:val="457"/>
        </w:trPr>
        <w:tc>
          <w:tcPr>
            <w:cnfStyle w:val="001000000000"/>
            <w:tcW w:w="8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5A3221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0222</w:t>
            </w:r>
          </w:p>
        </w:tc>
        <w:tc>
          <w:tcPr>
            <w:tcW w:w="1594" w:type="pct"/>
            <w:vAlign w:val="center"/>
          </w:tcPr>
          <w:p w:rsidR="00E159EE" w:rsidRPr="00A67292" w:rsidRDefault="005A3221" w:rsidP="00C253B4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Komunikacijska oprema</w:t>
            </w:r>
          </w:p>
        </w:tc>
        <w:tc>
          <w:tcPr>
            <w:tcW w:w="331" w:type="pct"/>
            <w:vAlign w:val="center"/>
          </w:tcPr>
          <w:p w:rsidR="00E159EE" w:rsidRPr="00A67292" w:rsidRDefault="005A3221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016</w:t>
            </w:r>
          </w:p>
        </w:tc>
        <w:tc>
          <w:tcPr>
            <w:tcW w:w="814" w:type="pct"/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3.950 </w:t>
            </w:r>
          </w:p>
        </w:tc>
        <w:tc>
          <w:tcPr>
            <w:tcW w:w="740" w:type="pct"/>
            <w:vAlign w:val="center"/>
          </w:tcPr>
          <w:p w:rsidR="00E159EE" w:rsidRPr="00A67292" w:rsidRDefault="00117B64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3.950</w:t>
            </w:r>
          </w:p>
        </w:tc>
        <w:tc>
          <w:tcPr>
            <w:tcW w:w="706" w:type="pct"/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100</w:t>
            </w:r>
          </w:p>
        </w:tc>
      </w:tr>
      <w:tr w:rsidR="00E159EE" w:rsidRPr="00A67292" w:rsidTr="00117B64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5A3221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0223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5A3221" w:rsidP="00C253B4">
            <w:pPr>
              <w:spacing w:after="120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Oprema za održavanje i zaštitu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5A322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017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52.492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117B64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52.492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100</w:t>
            </w:r>
          </w:p>
        </w:tc>
      </w:tr>
      <w:tr w:rsidR="00E159EE" w:rsidRPr="00A67292" w:rsidTr="00117B64">
        <w:trPr>
          <w:trHeight w:val="457"/>
        </w:trPr>
        <w:tc>
          <w:tcPr>
            <w:cnfStyle w:val="001000000000"/>
            <w:tcW w:w="8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5A3221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0225</w:t>
            </w:r>
          </w:p>
        </w:tc>
        <w:tc>
          <w:tcPr>
            <w:tcW w:w="1594" w:type="pct"/>
            <w:vAlign w:val="center"/>
          </w:tcPr>
          <w:p w:rsidR="00E159EE" w:rsidRPr="00A67292" w:rsidRDefault="005A3221" w:rsidP="00C253B4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Instrumenti, uređaji i strojevi</w:t>
            </w:r>
          </w:p>
        </w:tc>
        <w:tc>
          <w:tcPr>
            <w:tcW w:w="331" w:type="pct"/>
            <w:vAlign w:val="center"/>
          </w:tcPr>
          <w:p w:rsidR="00E159EE" w:rsidRPr="00A67292" w:rsidRDefault="005A3221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019</w:t>
            </w:r>
          </w:p>
        </w:tc>
        <w:tc>
          <w:tcPr>
            <w:tcW w:w="814" w:type="pct"/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6.2</w:t>
            </w:r>
            <w:r>
              <w:rPr>
                <w:rFonts w:asciiTheme="minorHAnsi" w:eastAsiaTheme="minorEastAsia" w:hAnsiTheme="minorHAnsi"/>
              </w:rPr>
              <w:t>51</w:t>
            </w:r>
          </w:p>
        </w:tc>
        <w:tc>
          <w:tcPr>
            <w:tcW w:w="740" w:type="pct"/>
            <w:vAlign w:val="center"/>
          </w:tcPr>
          <w:p w:rsidR="00E159EE" w:rsidRPr="00A67292" w:rsidRDefault="005A3221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6.2</w:t>
            </w:r>
            <w:r w:rsidR="00117B64">
              <w:rPr>
                <w:rFonts w:asciiTheme="minorHAnsi" w:eastAsiaTheme="minorEastAsia" w:hAnsiTheme="minorHAnsi"/>
              </w:rPr>
              <w:t>51</w:t>
            </w:r>
          </w:p>
        </w:tc>
        <w:tc>
          <w:tcPr>
            <w:tcW w:w="706" w:type="pct"/>
            <w:vAlign w:val="center"/>
          </w:tcPr>
          <w:p w:rsidR="00E159EE" w:rsidRPr="00A67292" w:rsidRDefault="00AC7808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100,0</w:t>
            </w:r>
          </w:p>
        </w:tc>
      </w:tr>
      <w:tr w:rsidR="00E159EE" w:rsidRPr="00A67292" w:rsidTr="00117B64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685FF4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0226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685FF4" w:rsidP="00C253B4">
            <w:pPr>
              <w:spacing w:after="120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Sportska i glazbene oprema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685FF4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020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890.666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977.870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109,8</w:t>
            </w:r>
          </w:p>
        </w:tc>
      </w:tr>
      <w:tr w:rsidR="00E159EE" w:rsidRPr="00A67292" w:rsidTr="00117B64">
        <w:trPr>
          <w:trHeight w:val="457"/>
        </w:trPr>
        <w:tc>
          <w:tcPr>
            <w:cnfStyle w:val="001000000000"/>
            <w:tcW w:w="8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685FF4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0227</w:t>
            </w:r>
          </w:p>
        </w:tc>
        <w:tc>
          <w:tcPr>
            <w:tcW w:w="1594" w:type="pct"/>
            <w:vAlign w:val="center"/>
          </w:tcPr>
          <w:p w:rsidR="00E159EE" w:rsidRPr="00A67292" w:rsidRDefault="00AD3307" w:rsidP="00C253B4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Uređa</w:t>
            </w:r>
            <w:r w:rsidR="00685FF4" w:rsidRPr="00A67292">
              <w:rPr>
                <w:rFonts w:asciiTheme="minorHAnsi" w:eastAsiaTheme="minorEastAsia" w:hAnsiTheme="minorHAnsi"/>
              </w:rPr>
              <w:t>ji, strojevi i opreme za ostale namjene</w:t>
            </w:r>
          </w:p>
        </w:tc>
        <w:tc>
          <w:tcPr>
            <w:tcW w:w="331" w:type="pct"/>
            <w:vAlign w:val="center"/>
          </w:tcPr>
          <w:p w:rsidR="00E159EE" w:rsidRPr="00A67292" w:rsidRDefault="00685FF4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021</w:t>
            </w:r>
          </w:p>
        </w:tc>
        <w:tc>
          <w:tcPr>
            <w:tcW w:w="814" w:type="pct"/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8.935</w:t>
            </w:r>
          </w:p>
        </w:tc>
        <w:tc>
          <w:tcPr>
            <w:tcW w:w="740" w:type="pct"/>
            <w:vAlign w:val="center"/>
          </w:tcPr>
          <w:p w:rsidR="00E159EE" w:rsidRPr="00A67292" w:rsidRDefault="00117B64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8.935</w:t>
            </w:r>
          </w:p>
        </w:tc>
        <w:tc>
          <w:tcPr>
            <w:tcW w:w="706" w:type="pct"/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100</w:t>
            </w:r>
          </w:p>
        </w:tc>
      </w:tr>
      <w:tr w:rsidR="00E159EE" w:rsidRPr="00A67292" w:rsidTr="00823A0C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:rsidR="00E159EE" w:rsidRPr="00A67292" w:rsidRDefault="00685FF4" w:rsidP="00A67292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02922</w:t>
            </w:r>
          </w:p>
        </w:tc>
        <w:tc>
          <w:tcPr>
            <w:tcW w:w="159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E159EE" w:rsidRPr="00A67292" w:rsidRDefault="00685FF4" w:rsidP="00C253B4">
            <w:pPr>
              <w:spacing w:after="120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Ispravak vrijednosti opreme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E159EE" w:rsidRPr="00A67292" w:rsidRDefault="00685FF4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023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909.219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E159EE" w:rsidRPr="00A67292" w:rsidRDefault="00F9595A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1.017.915</w:t>
            </w:r>
          </w:p>
        </w:tc>
        <w:tc>
          <w:tcPr>
            <w:tcW w:w="706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:rsidR="00E159EE" w:rsidRPr="00A67292" w:rsidRDefault="002D4174" w:rsidP="00C253B4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112</w:t>
            </w:r>
          </w:p>
        </w:tc>
      </w:tr>
      <w:tr w:rsidR="00823A0C" w:rsidRPr="00275C42" w:rsidTr="00823A0C">
        <w:trPr>
          <w:trHeight w:val="457"/>
        </w:trPr>
        <w:tc>
          <w:tcPr>
            <w:cnfStyle w:val="001000000000"/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23A0C" w:rsidRPr="00275C42" w:rsidRDefault="00823A0C" w:rsidP="00A67292">
            <w:pPr>
              <w:spacing w:after="120"/>
              <w:jc w:val="center"/>
              <w:rPr>
                <w:b/>
              </w:rPr>
            </w:pPr>
            <w:r w:rsidRPr="00275C42">
              <w:rPr>
                <w:b/>
              </w:rPr>
              <w:t>024</w:t>
            </w:r>
          </w:p>
        </w:tc>
        <w:tc>
          <w:tcPr>
            <w:tcW w:w="1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275C42" w:rsidRDefault="00823A0C" w:rsidP="00C253B4">
            <w:pPr>
              <w:spacing w:after="120"/>
              <w:cnfStyle w:val="000000000000"/>
              <w:rPr>
                <w:b/>
              </w:rPr>
            </w:pPr>
            <w:r w:rsidRPr="00275C42">
              <w:rPr>
                <w:b/>
              </w:rPr>
              <w:t>Knjige, umjetnička djela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275C42" w:rsidRDefault="00823A0C" w:rsidP="00A67292">
            <w:pPr>
              <w:spacing w:after="120"/>
              <w:jc w:val="center"/>
              <w:cnfStyle w:val="000000000000"/>
              <w:rPr>
                <w:b/>
              </w:rPr>
            </w:pPr>
            <w:r w:rsidRPr="00275C42">
              <w:rPr>
                <w:b/>
              </w:rPr>
              <w:t>030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275C42" w:rsidRDefault="00823A0C" w:rsidP="00C253B4">
            <w:pPr>
              <w:spacing w:after="120"/>
              <w:jc w:val="right"/>
              <w:cnfStyle w:val="000000000000"/>
              <w:rPr>
                <w:b/>
              </w:rPr>
            </w:pPr>
            <w:r w:rsidRPr="00275C42">
              <w:rPr>
                <w:b/>
              </w:rPr>
              <w:t>45.453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275C42" w:rsidRDefault="00823A0C" w:rsidP="00C253B4">
            <w:pPr>
              <w:spacing w:after="120"/>
              <w:jc w:val="right"/>
              <w:cnfStyle w:val="000000000000"/>
              <w:rPr>
                <w:b/>
              </w:rPr>
            </w:pPr>
            <w:r w:rsidRPr="00275C42">
              <w:rPr>
                <w:b/>
              </w:rPr>
              <w:t>48.813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Pr="00275C42" w:rsidRDefault="00823A0C" w:rsidP="00C253B4">
            <w:pPr>
              <w:spacing w:after="120"/>
              <w:jc w:val="right"/>
              <w:cnfStyle w:val="000000000000"/>
              <w:rPr>
                <w:b/>
              </w:rPr>
            </w:pPr>
            <w:r w:rsidRPr="00275C42">
              <w:rPr>
                <w:b/>
              </w:rPr>
              <w:t>107,4</w:t>
            </w:r>
          </w:p>
        </w:tc>
      </w:tr>
      <w:tr w:rsidR="00823A0C" w:rsidRPr="00A67292" w:rsidTr="00823A0C">
        <w:trPr>
          <w:cnfStyle w:val="000000100000"/>
          <w:trHeight w:val="457"/>
        </w:trPr>
        <w:tc>
          <w:tcPr>
            <w:cnfStyle w:val="001000000000"/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A0C" w:rsidRPr="00A67292" w:rsidRDefault="00823A0C" w:rsidP="00A67292">
            <w:pPr>
              <w:spacing w:after="120"/>
              <w:jc w:val="center"/>
            </w:pPr>
            <w:r>
              <w:t>0241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Pr="00A67292" w:rsidRDefault="00823A0C" w:rsidP="00C253B4">
            <w:pPr>
              <w:spacing w:after="120"/>
              <w:cnfStyle w:val="000000100000"/>
            </w:pPr>
            <w:r>
              <w:t>Knjige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Pr="00A67292" w:rsidRDefault="00823A0C" w:rsidP="00A67292">
            <w:pPr>
              <w:spacing w:after="120"/>
              <w:jc w:val="center"/>
              <w:cnfStyle w:val="000000100000"/>
            </w:pPr>
            <w:r>
              <w:t>031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100000"/>
            </w:pPr>
            <w:r>
              <w:t>41.199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100000"/>
            </w:pPr>
            <w:r>
              <w:t>42.459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100000"/>
            </w:pPr>
            <w:r>
              <w:t>103,1</w:t>
            </w:r>
          </w:p>
        </w:tc>
      </w:tr>
      <w:tr w:rsidR="00823A0C" w:rsidRPr="00A67292" w:rsidTr="00823A0C">
        <w:trPr>
          <w:trHeight w:val="457"/>
        </w:trPr>
        <w:tc>
          <w:tcPr>
            <w:cnfStyle w:val="001000000000"/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23A0C" w:rsidRPr="00A67292" w:rsidRDefault="00823A0C" w:rsidP="00A67292">
            <w:pPr>
              <w:spacing w:after="120"/>
              <w:jc w:val="center"/>
            </w:pPr>
            <w:r>
              <w:t>0242</w:t>
            </w:r>
          </w:p>
        </w:tc>
        <w:tc>
          <w:tcPr>
            <w:tcW w:w="1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A67292" w:rsidRDefault="00823A0C" w:rsidP="00C253B4">
            <w:pPr>
              <w:spacing w:after="120"/>
              <w:cnfStyle w:val="000000000000"/>
            </w:pPr>
            <w:r>
              <w:t>Umjetnička djela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Pr="00A67292" w:rsidRDefault="00823A0C" w:rsidP="00A67292">
            <w:pPr>
              <w:spacing w:after="120"/>
              <w:jc w:val="center"/>
              <w:cnfStyle w:val="000000000000"/>
            </w:pPr>
            <w:r>
              <w:t>032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000000"/>
            </w:pPr>
            <w:r>
              <w:t>4.254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000000"/>
            </w:pPr>
            <w:r>
              <w:t>6.354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C" w:rsidRDefault="00823A0C" w:rsidP="00C253B4">
            <w:pPr>
              <w:spacing w:after="120"/>
              <w:jc w:val="right"/>
              <w:cnfStyle w:val="000000000000"/>
            </w:pPr>
            <w:r>
              <w:t>149,4</w:t>
            </w:r>
          </w:p>
        </w:tc>
      </w:tr>
    </w:tbl>
    <w:p w:rsidR="00560CE5" w:rsidRDefault="00560CE5" w:rsidP="000F533F">
      <w:pPr>
        <w:pStyle w:val="Tijeloteksta"/>
        <w:jc w:val="left"/>
        <w:rPr>
          <w:b w:val="0"/>
        </w:rPr>
      </w:pPr>
    </w:p>
    <w:p w:rsidR="000F533F" w:rsidRPr="000F533F" w:rsidRDefault="00AD3307" w:rsidP="00C253B4">
      <w:pPr>
        <w:pStyle w:val="Tijeloteksta"/>
        <w:jc w:val="both"/>
        <w:rPr>
          <w:b w:val="0"/>
          <w:bCs w:val="0"/>
        </w:rPr>
      </w:pPr>
      <w:r w:rsidRPr="000F533F">
        <w:rPr>
          <w:b w:val="0"/>
        </w:rPr>
        <w:lastRenderedPageBreak/>
        <w:t>Iz horizontalne analize, uspoređujući podatke o tende</w:t>
      </w:r>
      <w:r w:rsidR="00203B43" w:rsidRPr="000F533F">
        <w:rPr>
          <w:b w:val="0"/>
        </w:rPr>
        <w:t>n</w:t>
      </w:r>
      <w:r w:rsidRPr="000F533F">
        <w:rPr>
          <w:b w:val="0"/>
        </w:rPr>
        <w:t>ciji i dinamici promjena opreme</w:t>
      </w:r>
      <w:r w:rsidR="00BC671F" w:rsidRPr="000F533F">
        <w:rPr>
          <w:b w:val="0"/>
        </w:rPr>
        <w:t>, knjiga i sitnog i</w:t>
      </w:r>
      <w:r w:rsidR="009A4EF3">
        <w:rPr>
          <w:b w:val="0"/>
        </w:rPr>
        <w:t>n</w:t>
      </w:r>
      <w:r w:rsidR="003B126E">
        <w:rPr>
          <w:b w:val="0"/>
        </w:rPr>
        <w:t>ventara</w:t>
      </w:r>
      <w:r w:rsidR="00311AAA" w:rsidRPr="000F533F">
        <w:rPr>
          <w:b w:val="0"/>
        </w:rPr>
        <w:t xml:space="preserve"> na početku i na kraju 201</w:t>
      </w:r>
      <w:r w:rsidR="002D4174">
        <w:rPr>
          <w:b w:val="0"/>
        </w:rPr>
        <w:t>7</w:t>
      </w:r>
      <w:r w:rsidRPr="000F533F">
        <w:rPr>
          <w:b w:val="0"/>
        </w:rPr>
        <w:t>. godine, slij</w:t>
      </w:r>
      <w:r w:rsidR="00311AAA" w:rsidRPr="000F533F">
        <w:rPr>
          <w:b w:val="0"/>
        </w:rPr>
        <w:t>edi zaključak da je tijekom 201</w:t>
      </w:r>
      <w:r w:rsidR="002D4174">
        <w:rPr>
          <w:b w:val="0"/>
        </w:rPr>
        <w:t>7</w:t>
      </w:r>
      <w:r w:rsidRPr="000F533F">
        <w:rPr>
          <w:b w:val="0"/>
        </w:rPr>
        <w:t xml:space="preserve">. godine </w:t>
      </w:r>
      <w:r w:rsidR="00375435">
        <w:rPr>
          <w:b w:val="0"/>
        </w:rPr>
        <w:t xml:space="preserve">došlo do </w:t>
      </w:r>
      <w:r w:rsidR="002D4174">
        <w:rPr>
          <w:b w:val="0"/>
        </w:rPr>
        <w:t>povećanja</w:t>
      </w:r>
      <w:r w:rsidR="00FE4703">
        <w:rPr>
          <w:b w:val="0"/>
        </w:rPr>
        <w:t>vrijednost</w:t>
      </w:r>
      <w:r w:rsidR="00375435">
        <w:rPr>
          <w:b w:val="0"/>
        </w:rPr>
        <w:t xml:space="preserve"> uredske opreme za </w:t>
      </w:r>
      <w:r w:rsidR="002D4174">
        <w:rPr>
          <w:b w:val="0"/>
        </w:rPr>
        <w:t>6</w:t>
      </w:r>
      <w:r w:rsidR="00375435">
        <w:rPr>
          <w:b w:val="0"/>
        </w:rPr>
        <w:t>,</w:t>
      </w:r>
      <w:r w:rsidR="00677365">
        <w:rPr>
          <w:b w:val="0"/>
        </w:rPr>
        <w:t>1</w:t>
      </w:r>
      <w:r w:rsidR="00375435">
        <w:rPr>
          <w:b w:val="0"/>
        </w:rPr>
        <w:t xml:space="preserve">%,  glazbenih instrumenata za </w:t>
      </w:r>
      <w:r w:rsidR="002D4174">
        <w:rPr>
          <w:b w:val="0"/>
        </w:rPr>
        <w:t>9,8</w:t>
      </w:r>
      <w:r w:rsidR="003B126E">
        <w:rPr>
          <w:b w:val="0"/>
        </w:rPr>
        <w:t xml:space="preserve">%, knjiga </w:t>
      </w:r>
      <w:r w:rsidR="002D4174">
        <w:rPr>
          <w:b w:val="0"/>
        </w:rPr>
        <w:t>3</w:t>
      </w:r>
      <w:r w:rsidR="003B126E">
        <w:rPr>
          <w:b w:val="0"/>
        </w:rPr>
        <w:t>,1%</w:t>
      </w:r>
      <w:r w:rsidR="002D4174">
        <w:rPr>
          <w:b w:val="0"/>
        </w:rPr>
        <w:t>, umjetničkih djela za 49,4%</w:t>
      </w:r>
      <w:r w:rsidR="003B126E">
        <w:rPr>
          <w:b w:val="0"/>
        </w:rPr>
        <w:t xml:space="preserve"> i sitnog inventara </w:t>
      </w:r>
      <w:r w:rsidR="002D4174">
        <w:rPr>
          <w:b w:val="0"/>
        </w:rPr>
        <w:t>9</w:t>
      </w:r>
      <w:r w:rsidR="003B126E">
        <w:rPr>
          <w:b w:val="0"/>
        </w:rPr>
        <w:t>,</w:t>
      </w:r>
      <w:r w:rsidR="002D4174">
        <w:rPr>
          <w:b w:val="0"/>
        </w:rPr>
        <w:t>2</w:t>
      </w:r>
      <w:r w:rsidR="003B126E">
        <w:rPr>
          <w:b w:val="0"/>
        </w:rPr>
        <w:t xml:space="preserve">%. </w:t>
      </w:r>
      <w:r w:rsidRPr="000F533F">
        <w:rPr>
          <w:b w:val="0"/>
        </w:rPr>
        <w:t xml:space="preserve"> Podatak o ispravku vrijednosti tako</w:t>
      </w:r>
      <w:r w:rsidR="00BC671F" w:rsidRPr="000F533F">
        <w:rPr>
          <w:b w:val="0"/>
        </w:rPr>
        <w:t>đer ima tende</w:t>
      </w:r>
      <w:r w:rsidR="00203B43" w:rsidRPr="000F533F">
        <w:rPr>
          <w:b w:val="0"/>
        </w:rPr>
        <w:t>n</w:t>
      </w:r>
      <w:r w:rsidR="00311AAA" w:rsidRPr="000F533F">
        <w:rPr>
          <w:b w:val="0"/>
        </w:rPr>
        <w:t xml:space="preserve">ciju povećanja od </w:t>
      </w:r>
      <w:r w:rsidR="002D4174">
        <w:rPr>
          <w:b w:val="0"/>
        </w:rPr>
        <w:t>12</w:t>
      </w:r>
      <w:r w:rsidR="00375435">
        <w:rPr>
          <w:b w:val="0"/>
        </w:rPr>
        <w:t>%</w:t>
      </w:r>
      <w:r w:rsidRPr="000F533F">
        <w:rPr>
          <w:b w:val="0"/>
        </w:rPr>
        <w:t xml:space="preserve"> u odnosu na početak godine. Usporedbom </w:t>
      </w:r>
      <w:r w:rsidR="005966D2" w:rsidRPr="000F533F">
        <w:rPr>
          <w:b w:val="0"/>
        </w:rPr>
        <w:t>sadašnje vrijednosti postrojenja i opreme na AOP</w:t>
      </w:r>
      <w:r w:rsidR="009A4EF3">
        <w:rPr>
          <w:b w:val="0"/>
        </w:rPr>
        <w:t>-u</w:t>
      </w:r>
      <w:r w:rsidR="005966D2" w:rsidRPr="000F533F">
        <w:rPr>
          <w:b w:val="0"/>
        </w:rPr>
        <w:t xml:space="preserve"> 014 dolazimo do stvarnog podatka koji ukaz</w:t>
      </w:r>
      <w:r w:rsidR="00311AAA" w:rsidRPr="000F533F">
        <w:rPr>
          <w:b w:val="0"/>
        </w:rPr>
        <w:t xml:space="preserve">uje da je </w:t>
      </w:r>
      <w:r w:rsidR="00275C42">
        <w:rPr>
          <w:b w:val="0"/>
        </w:rPr>
        <w:t>smanjenje</w:t>
      </w:r>
      <w:r w:rsidR="005966D2" w:rsidRPr="000F533F">
        <w:rPr>
          <w:b w:val="0"/>
        </w:rPr>
        <w:t xml:space="preserve"> nabavne vrijednosti imovine, odnosno nabava nove imovine </w:t>
      </w:r>
      <w:r w:rsidR="00275C42">
        <w:rPr>
          <w:b w:val="0"/>
        </w:rPr>
        <w:t xml:space="preserve">manja </w:t>
      </w:r>
      <w:r w:rsidR="005966D2" w:rsidRPr="000F533F">
        <w:rPr>
          <w:b w:val="0"/>
        </w:rPr>
        <w:t>od ispravka vrijednosti.Sadašnja vrijednost nef</w:t>
      </w:r>
      <w:r w:rsidR="00311AAA" w:rsidRPr="000F533F">
        <w:rPr>
          <w:b w:val="0"/>
        </w:rPr>
        <w:t>inancijske imovine na kraju 201</w:t>
      </w:r>
      <w:r w:rsidR="00275C42">
        <w:rPr>
          <w:b w:val="0"/>
        </w:rPr>
        <w:t>7</w:t>
      </w:r>
      <w:r w:rsidR="00311AAA" w:rsidRPr="000F533F">
        <w:rPr>
          <w:b w:val="0"/>
        </w:rPr>
        <w:t xml:space="preserve">. godine </w:t>
      </w:r>
      <w:r w:rsidR="00275C42">
        <w:rPr>
          <w:b w:val="0"/>
        </w:rPr>
        <w:t>manja</w:t>
      </w:r>
      <w:r w:rsidR="00311AAA" w:rsidRPr="000F533F">
        <w:rPr>
          <w:b w:val="0"/>
        </w:rPr>
        <w:t xml:space="preserve"> je za 1</w:t>
      </w:r>
      <w:r w:rsidR="00275C42">
        <w:rPr>
          <w:b w:val="0"/>
        </w:rPr>
        <w:t>,</w:t>
      </w:r>
      <w:r w:rsidR="00311AAA" w:rsidRPr="000F533F">
        <w:rPr>
          <w:b w:val="0"/>
        </w:rPr>
        <w:t>4</w:t>
      </w:r>
      <w:r w:rsidR="005966D2" w:rsidRPr="000F533F">
        <w:rPr>
          <w:b w:val="0"/>
        </w:rPr>
        <w:t>%</w:t>
      </w:r>
      <w:r w:rsidR="00051447" w:rsidRPr="000F533F">
        <w:rPr>
          <w:b w:val="0"/>
        </w:rPr>
        <w:t xml:space="preserve"> negoli je bila početkom godine.</w:t>
      </w:r>
    </w:p>
    <w:p w:rsidR="00051447" w:rsidRDefault="00051447" w:rsidP="00C253B4">
      <w:pPr>
        <w:spacing w:after="120"/>
        <w:jc w:val="both"/>
      </w:pPr>
    </w:p>
    <w:p w:rsidR="00E95EA7" w:rsidRPr="00C253B4" w:rsidRDefault="00EA189B" w:rsidP="00051447">
      <w:pPr>
        <w:spacing w:after="120"/>
        <w:rPr>
          <w:b/>
          <w:sz w:val="24"/>
          <w:szCs w:val="24"/>
        </w:rPr>
      </w:pPr>
      <w:r w:rsidRPr="00C253B4">
        <w:rPr>
          <w:b/>
          <w:sz w:val="24"/>
          <w:szCs w:val="24"/>
        </w:rPr>
        <w:t>Bilješ</w:t>
      </w:r>
      <w:r w:rsidR="00F702C3" w:rsidRPr="00C253B4">
        <w:rPr>
          <w:b/>
          <w:sz w:val="24"/>
          <w:szCs w:val="24"/>
        </w:rPr>
        <w:t>ka uz AOP-064- Novac u banci i b</w:t>
      </w:r>
      <w:r w:rsidRPr="00C253B4">
        <w:rPr>
          <w:b/>
          <w:sz w:val="24"/>
          <w:szCs w:val="24"/>
        </w:rPr>
        <w:t>lagajni</w:t>
      </w:r>
    </w:p>
    <w:tbl>
      <w:tblPr>
        <w:tblStyle w:val="Srednjipopis2-Isticanje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2571"/>
        <w:gridCol w:w="2138"/>
        <w:gridCol w:w="632"/>
        <w:gridCol w:w="1356"/>
        <w:gridCol w:w="1358"/>
        <w:gridCol w:w="1233"/>
      </w:tblGrid>
      <w:tr w:rsidR="00922FEE" w:rsidRPr="00A67292" w:rsidTr="006D02A1">
        <w:trPr>
          <w:cnfStyle w:val="100000000000"/>
        </w:trPr>
        <w:tc>
          <w:tcPr>
            <w:cnfStyle w:val="00100000010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A67292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A67292" w:rsidRDefault="00922FEE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A67292" w:rsidRDefault="00922FEE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A67292" w:rsidRDefault="00F27C23" w:rsidP="00AA1851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1.1.201</w:t>
            </w:r>
            <w:r w:rsidR="00AA185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922FEE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A67292" w:rsidRDefault="00F27C23" w:rsidP="00AA1851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31.12.201</w:t>
            </w:r>
            <w:r w:rsidR="00AA185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922FEE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A67292" w:rsidRDefault="00922FEE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922FEE" w:rsidTr="006D02A1">
        <w:trPr>
          <w:cnfStyle w:val="000000100000"/>
        </w:trPr>
        <w:tc>
          <w:tcPr>
            <w:cnfStyle w:val="00100000000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922FE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922FE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922FE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922FE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A189B" w:rsidRDefault="00EA189B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A189B" w:rsidTr="006D02A1">
        <w:tc>
          <w:tcPr>
            <w:cnfStyle w:val="001000000000"/>
            <w:tcW w:w="13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</w:t>
            </w:r>
          </w:p>
        </w:tc>
        <w:tc>
          <w:tcPr>
            <w:tcW w:w="1151" w:type="pct"/>
            <w:vAlign w:val="center"/>
          </w:tcPr>
          <w:p w:rsidR="00EA189B" w:rsidRDefault="00922FEE" w:rsidP="002E3B5B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Novac u banci i blagajni</w:t>
            </w:r>
          </w:p>
        </w:tc>
        <w:tc>
          <w:tcPr>
            <w:tcW w:w="340" w:type="pct"/>
            <w:vAlign w:val="center"/>
          </w:tcPr>
          <w:p w:rsidR="00EA189B" w:rsidRDefault="00F702C3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064</w:t>
            </w:r>
          </w:p>
        </w:tc>
        <w:tc>
          <w:tcPr>
            <w:tcW w:w="730" w:type="pct"/>
            <w:vAlign w:val="center"/>
          </w:tcPr>
          <w:p w:rsidR="00EA189B" w:rsidRDefault="00AA185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55.295</w:t>
            </w:r>
          </w:p>
        </w:tc>
        <w:tc>
          <w:tcPr>
            <w:tcW w:w="731" w:type="pct"/>
            <w:vAlign w:val="center"/>
          </w:tcPr>
          <w:p w:rsidR="00EA189B" w:rsidRDefault="00AA185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128.086 </w:t>
            </w:r>
          </w:p>
        </w:tc>
        <w:tc>
          <w:tcPr>
            <w:tcW w:w="664" w:type="pct"/>
            <w:vAlign w:val="center"/>
          </w:tcPr>
          <w:p w:rsidR="00EA189B" w:rsidRDefault="00AA185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231,6</w:t>
            </w:r>
          </w:p>
        </w:tc>
      </w:tr>
      <w:tr w:rsidR="00922FEE" w:rsidTr="006D02A1">
        <w:trPr>
          <w:cnfStyle w:val="000000100000"/>
        </w:trPr>
        <w:tc>
          <w:tcPr>
            <w:cnfStyle w:val="00100000000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1112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922FEE" w:rsidP="002E3B5B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Žiro račun</w:t>
            </w:r>
          </w:p>
        </w:tc>
        <w:tc>
          <w:tcPr>
            <w:tcW w:w="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F702C3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067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AA1851" w:rsidP="002E3B5B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55.295</w:t>
            </w:r>
          </w:p>
        </w:tc>
        <w:tc>
          <w:tcPr>
            <w:tcW w:w="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Default="00AA1851" w:rsidP="002E3B5B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128.086  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A189B" w:rsidRDefault="00AA1851" w:rsidP="002E3B5B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231,6</w:t>
            </w:r>
          </w:p>
        </w:tc>
      </w:tr>
    </w:tbl>
    <w:p w:rsidR="00D51FE3" w:rsidRPr="00C253B4" w:rsidRDefault="00C253B4" w:rsidP="00051447">
      <w:pPr>
        <w:spacing w:after="120"/>
        <w:rPr>
          <w:sz w:val="24"/>
          <w:szCs w:val="24"/>
        </w:rPr>
      </w:pPr>
      <w:r w:rsidRPr="00C253B4">
        <w:rPr>
          <w:sz w:val="24"/>
          <w:szCs w:val="24"/>
        </w:rPr>
        <w:t>Na žiro računu nalaze se neutrošena sredstva od participacija učenika.</w:t>
      </w:r>
    </w:p>
    <w:p w:rsidR="00C253B4" w:rsidRDefault="00C253B4" w:rsidP="00051447">
      <w:pPr>
        <w:spacing w:after="120"/>
      </w:pPr>
    </w:p>
    <w:p w:rsidR="003C1896" w:rsidRDefault="003C1896" w:rsidP="00051447">
      <w:pPr>
        <w:spacing w:after="120"/>
        <w:rPr>
          <w:b/>
        </w:rPr>
      </w:pPr>
      <w:r w:rsidRPr="00525229">
        <w:rPr>
          <w:b/>
        </w:rPr>
        <w:t>Bilješka uz AOP 073- Depoziti, jamčeni polozi i potraživanja od zaposlenih</w:t>
      </w:r>
    </w:p>
    <w:tbl>
      <w:tblPr>
        <w:tblStyle w:val="Srednjipopis2-Isticanje1"/>
        <w:tblW w:w="5003" w:type="pct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2569"/>
        <w:gridCol w:w="2141"/>
        <w:gridCol w:w="632"/>
        <w:gridCol w:w="1357"/>
        <w:gridCol w:w="1359"/>
        <w:gridCol w:w="1236"/>
      </w:tblGrid>
      <w:tr w:rsidR="00C32AA2" w:rsidRPr="00A67292" w:rsidTr="006D02A1">
        <w:trPr>
          <w:cnfStyle w:val="100000000000"/>
        </w:trPr>
        <w:tc>
          <w:tcPr>
            <w:cnfStyle w:val="001000000100"/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32AA2" w:rsidRPr="00A67292" w:rsidRDefault="00C32AA2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Pr="00A67292" w:rsidRDefault="00C32AA2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Pr="00A67292" w:rsidRDefault="00C32AA2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Pr="00A67292" w:rsidRDefault="00F27C23" w:rsidP="00AA1851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1.1.201</w:t>
            </w:r>
            <w:r w:rsidR="00AA185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Pr="00A67292" w:rsidRDefault="00F27C23" w:rsidP="00AA1851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31.12.201</w:t>
            </w:r>
            <w:r w:rsidR="00AA185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C32AA2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Pr="00A67292" w:rsidRDefault="00C32AA2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C32AA2" w:rsidTr="006D02A1">
        <w:trPr>
          <w:cnfStyle w:val="000000100000"/>
        </w:trPr>
        <w:tc>
          <w:tcPr>
            <w:cnfStyle w:val="001000000000"/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32AA2" w:rsidRDefault="00C32AA2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</w:t>
            </w:r>
          </w:p>
        </w:tc>
        <w:tc>
          <w:tcPr>
            <w:tcW w:w="11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Default="00C32AA2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Default="00C32AA2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Default="00C32AA2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2AA2" w:rsidRDefault="00C32AA2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32AA2" w:rsidRDefault="00C32AA2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32AA2" w:rsidTr="002B6061">
        <w:tc>
          <w:tcPr>
            <w:cnfStyle w:val="001000000000"/>
            <w:tcW w:w="1382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:rsidR="00C32AA2" w:rsidRDefault="00C32AA2" w:rsidP="006D02A1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</w:t>
            </w:r>
            <w:r w:rsidR="006D02A1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C32AA2" w:rsidRDefault="006D02A1" w:rsidP="002E3B5B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Potraživanje od zaposlenih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C32AA2" w:rsidRDefault="00C32AA2" w:rsidP="006D02A1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 w:rsidR="006D02A1">
              <w:rPr>
                <w:rFonts w:asciiTheme="minorHAnsi" w:eastAsiaTheme="minorEastAsia" w:hAnsiTheme="minorHAnsi" w:cstheme="minorBidi"/>
                <w:color w:val="auto"/>
              </w:rPr>
              <w:t>78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C32AA2" w:rsidRDefault="002B606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1.200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C32AA2" w:rsidRDefault="002B606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C32AA2" w:rsidRDefault="006D02A1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0,0</w:t>
            </w:r>
          </w:p>
        </w:tc>
      </w:tr>
      <w:tr w:rsidR="002B6061" w:rsidTr="002B6061">
        <w:trPr>
          <w:cnfStyle w:val="000000100000"/>
        </w:trPr>
        <w:tc>
          <w:tcPr>
            <w:cnfStyle w:val="00100000000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61" w:rsidRDefault="002B6061" w:rsidP="006D02A1">
            <w:pPr>
              <w:spacing w:after="120"/>
              <w:jc w:val="center"/>
            </w:pPr>
            <w:r>
              <w:t>124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61" w:rsidRDefault="002B6061" w:rsidP="002E3B5B">
            <w:pPr>
              <w:spacing w:after="120"/>
              <w:cnfStyle w:val="000000100000"/>
            </w:pPr>
            <w:r>
              <w:t>Potraživanja za više plaćene poreze i doprinose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61" w:rsidRDefault="002B6061" w:rsidP="006D02A1">
            <w:pPr>
              <w:spacing w:after="120"/>
              <w:jc w:val="center"/>
              <w:cnfStyle w:val="000000100000"/>
            </w:pPr>
            <w:r>
              <w:t>079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61" w:rsidRDefault="002B6061" w:rsidP="002E3B5B">
            <w:pPr>
              <w:spacing w:after="120"/>
              <w:jc w:val="right"/>
              <w:cnfStyle w:val="000000100000"/>
            </w:pPr>
            <w: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61" w:rsidRDefault="002B6061" w:rsidP="002E3B5B">
            <w:pPr>
              <w:spacing w:after="120"/>
              <w:jc w:val="right"/>
              <w:cnfStyle w:val="000000100000"/>
            </w:pPr>
            <w:r>
              <w:t>4.413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61" w:rsidRDefault="002B6061" w:rsidP="002E3B5B">
            <w:pPr>
              <w:spacing w:after="120"/>
              <w:jc w:val="right"/>
              <w:cnfStyle w:val="000000100000"/>
            </w:pPr>
          </w:p>
        </w:tc>
      </w:tr>
      <w:tr w:rsidR="006D02A1" w:rsidTr="00C253B4">
        <w:tc>
          <w:tcPr>
            <w:cnfStyle w:val="00100000000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2A1" w:rsidRDefault="006D02A1" w:rsidP="006D02A1">
            <w:pPr>
              <w:spacing w:after="120"/>
              <w:jc w:val="center"/>
            </w:pPr>
            <w:r>
              <w:t>129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1" w:rsidRDefault="00555A60" w:rsidP="002E3B5B">
            <w:pPr>
              <w:spacing w:after="120"/>
              <w:cnfStyle w:val="000000000000"/>
            </w:pPr>
            <w:r>
              <w:t>Ostala potraživanja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1" w:rsidRDefault="00555A60" w:rsidP="006D02A1">
            <w:pPr>
              <w:spacing w:after="120"/>
              <w:jc w:val="center"/>
              <w:cnfStyle w:val="000000000000"/>
            </w:pPr>
            <w:r>
              <w:t>080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1" w:rsidRDefault="002B6061" w:rsidP="002E3B5B">
            <w:pPr>
              <w:spacing w:after="120"/>
              <w:jc w:val="right"/>
              <w:cnfStyle w:val="000000000000"/>
            </w:pPr>
            <w:r>
              <w:t>1.510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1" w:rsidRDefault="002B6061" w:rsidP="002E3B5B">
            <w:pPr>
              <w:spacing w:after="120"/>
              <w:jc w:val="right"/>
              <w:cnfStyle w:val="000000000000"/>
            </w:pPr>
            <w:r>
              <w:t>8.531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1" w:rsidRDefault="002B6061" w:rsidP="002E3B5B">
            <w:pPr>
              <w:spacing w:after="120"/>
              <w:jc w:val="right"/>
              <w:cnfStyle w:val="000000000000"/>
            </w:pPr>
            <w:r>
              <w:t>565,0</w:t>
            </w:r>
          </w:p>
        </w:tc>
      </w:tr>
    </w:tbl>
    <w:p w:rsidR="002E3B5B" w:rsidRDefault="002E3B5B" w:rsidP="002E3B5B">
      <w:pPr>
        <w:spacing w:after="120"/>
        <w:jc w:val="both"/>
        <w:rPr>
          <w:sz w:val="24"/>
          <w:szCs w:val="24"/>
        </w:rPr>
      </w:pPr>
    </w:p>
    <w:p w:rsidR="0025530A" w:rsidRDefault="00555A60" w:rsidP="002B6061">
      <w:pPr>
        <w:spacing w:after="120"/>
        <w:jc w:val="both"/>
        <w:rPr>
          <w:sz w:val="24"/>
          <w:szCs w:val="24"/>
        </w:rPr>
      </w:pPr>
      <w:r w:rsidRPr="002E3B5B">
        <w:rPr>
          <w:sz w:val="24"/>
          <w:szCs w:val="24"/>
        </w:rPr>
        <w:t xml:space="preserve">Potraživanje </w:t>
      </w:r>
      <w:r w:rsidR="002B6061">
        <w:rPr>
          <w:sz w:val="24"/>
          <w:szCs w:val="24"/>
        </w:rPr>
        <w:t>za više plaćene poreze i doprinose odnosi se na plaćeni porez i prirez po godišnjem obračunu poreza i prireza.</w:t>
      </w:r>
    </w:p>
    <w:p w:rsidR="002B6061" w:rsidRDefault="002B6061" w:rsidP="002B6061">
      <w:pPr>
        <w:spacing w:after="120"/>
        <w:jc w:val="both"/>
        <w:rPr>
          <w:b/>
        </w:rPr>
      </w:pPr>
      <w:r>
        <w:rPr>
          <w:sz w:val="24"/>
          <w:szCs w:val="24"/>
        </w:rPr>
        <w:t>Ostala potraživanja odnose se na bolovanja na teret HZZO u iznosu od 8.515</w:t>
      </w:r>
      <w:r w:rsidR="00B07DF8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i potraživanja za predujmove od 1</w:t>
      </w:r>
      <w:r w:rsidR="00B07DF8">
        <w:rPr>
          <w:sz w:val="24"/>
          <w:szCs w:val="24"/>
        </w:rPr>
        <w:t>6 kn.</w:t>
      </w:r>
    </w:p>
    <w:p w:rsidR="002E3B5B" w:rsidRDefault="002E3B5B" w:rsidP="00051447">
      <w:pPr>
        <w:spacing w:after="120"/>
        <w:rPr>
          <w:b/>
        </w:rPr>
      </w:pPr>
    </w:p>
    <w:p w:rsidR="002E3B5B" w:rsidRDefault="002E3B5B" w:rsidP="00051447">
      <w:pPr>
        <w:spacing w:after="120"/>
        <w:rPr>
          <w:b/>
        </w:rPr>
      </w:pPr>
    </w:p>
    <w:p w:rsidR="002E3B5B" w:rsidRDefault="002E3B5B" w:rsidP="00051447">
      <w:pPr>
        <w:spacing w:after="120"/>
        <w:rPr>
          <w:b/>
        </w:rPr>
      </w:pPr>
    </w:p>
    <w:p w:rsidR="00036C35" w:rsidRDefault="00036C35" w:rsidP="00051447">
      <w:pPr>
        <w:spacing w:after="120"/>
        <w:rPr>
          <w:b/>
        </w:rPr>
      </w:pPr>
    </w:p>
    <w:p w:rsidR="002E3B5B" w:rsidRDefault="002E3B5B" w:rsidP="00051447">
      <w:pPr>
        <w:spacing w:after="120"/>
        <w:rPr>
          <w:b/>
        </w:rPr>
      </w:pPr>
    </w:p>
    <w:p w:rsidR="00A00410" w:rsidRPr="002E3B5B" w:rsidRDefault="00A00410" w:rsidP="00051447">
      <w:pPr>
        <w:spacing w:after="120"/>
        <w:rPr>
          <w:b/>
          <w:sz w:val="24"/>
          <w:szCs w:val="24"/>
        </w:rPr>
      </w:pPr>
      <w:r w:rsidRPr="002E3B5B">
        <w:rPr>
          <w:b/>
          <w:sz w:val="24"/>
          <w:szCs w:val="24"/>
        </w:rPr>
        <w:lastRenderedPageBreak/>
        <w:t>Bilješka uz AOP 161- Kontinuirani rashodi budućih razdoblja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2506"/>
        <w:gridCol w:w="2159"/>
        <w:gridCol w:w="616"/>
        <w:gridCol w:w="1375"/>
        <w:gridCol w:w="1378"/>
        <w:gridCol w:w="1254"/>
      </w:tblGrid>
      <w:tr w:rsidR="00A00410" w:rsidRPr="00A67292" w:rsidTr="00A67292">
        <w:trPr>
          <w:cnfStyle w:val="100000000000"/>
        </w:trPr>
        <w:tc>
          <w:tcPr>
            <w:cnfStyle w:val="001000000100"/>
            <w:tcW w:w="1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Pr="00A67292" w:rsidRDefault="00A00410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A67292" w:rsidRDefault="00A00410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A67292" w:rsidRDefault="00A00410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7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A67292" w:rsidRDefault="00F27C23" w:rsidP="0096384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1.1.201</w:t>
            </w:r>
            <w:r w:rsidR="0096384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A00410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A67292" w:rsidRDefault="00F27C23" w:rsidP="0096384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31.12.201</w:t>
            </w:r>
            <w:r w:rsidR="0096384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A00410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A67292" w:rsidRDefault="00A00410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A00410" w:rsidTr="00A67292">
        <w:trPr>
          <w:cnfStyle w:val="000000100000"/>
        </w:trPr>
        <w:tc>
          <w:tcPr>
            <w:cnfStyle w:val="001000000000"/>
            <w:tcW w:w="1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Default="00A00410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A00410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A00410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A00410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A00410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00410" w:rsidRDefault="00A00410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A00410" w:rsidTr="00A67292">
        <w:tc>
          <w:tcPr>
            <w:cnfStyle w:val="001000000000"/>
            <w:tcW w:w="132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Default="00A00410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</w:t>
            </w:r>
          </w:p>
        </w:tc>
        <w:tc>
          <w:tcPr>
            <w:tcW w:w="1171" w:type="pct"/>
            <w:vAlign w:val="center"/>
          </w:tcPr>
          <w:p w:rsidR="00A00410" w:rsidRDefault="00A00410" w:rsidP="002E3B5B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Rashodi budućih razdoblja i nedospjela naplata prihoda</w:t>
            </w:r>
          </w:p>
        </w:tc>
        <w:tc>
          <w:tcPr>
            <w:tcW w:w="325" w:type="pct"/>
            <w:vAlign w:val="center"/>
          </w:tcPr>
          <w:p w:rsidR="00A00410" w:rsidRDefault="000E4AE9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158</w:t>
            </w:r>
          </w:p>
        </w:tc>
        <w:tc>
          <w:tcPr>
            <w:tcW w:w="749" w:type="pct"/>
            <w:vAlign w:val="center"/>
          </w:tcPr>
          <w:p w:rsidR="00A00410" w:rsidRDefault="00B07DF8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243.629 </w:t>
            </w:r>
          </w:p>
        </w:tc>
        <w:tc>
          <w:tcPr>
            <w:tcW w:w="750" w:type="pct"/>
            <w:vAlign w:val="center"/>
          </w:tcPr>
          <w:p w:rsidR="00A00410" w:rsidRDefault="00B07DF8" w:rsidP="002E3B5B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247.337</w:t>
            </w:r>
          </w:p>
        </w:tc>
        <w:tc>
          <w:tcPr>
            <w:tcW w:w="683" w:type="pct"/>
            <w:vAlign w:val="center"/>
          </w:tcPr>
          <w:p w:rsidR="00A00410" w:rsidRDefault="00F250D3" w:rsidP="00B07DF8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  <w:r w:rsidR="00B07DF8"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555A60">
              <w:rPr>
                <w:rFonts w:asciiTheme="minorHAnsi" w:eastAsiaTheme="minorEastAsia" w:hAnsiTheme="minorHAnsi" w:cstheme="minorBidi"/>
                <w:color w:val="auto"/>
              </w:rPr>
              <w:t>,</w:t>
            </w:r>
            <w:r w:rsidR="00B07DF8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</w:tr>
      <w:tr w:rsidR="00A00410" w:rsidTr="00A67292">
        <w:trPr>
          <w:cnfStyle w:val="000000100000"/>
        </w:trPr>
        <w:tc>
          <w:tcPr>
            <w:cnfStyle w:val="001000000000"/>
            <w:tcW w:w="1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Default="00A00410" w:rsidP="00555A60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193</w:t>
            </w:r>
          </w:p>
        </w:tc>
        <w:tc>
          <w:tcPr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A00410" w:rsidP="002E3B5B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Kontinuirani rashodi budućih razdoblja</w:t>
            </w: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0E4AE9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161</w:t>
            </w:r>
          </w:p>
        </w:tc>
        <w:tc>
          <w:tcPr>
            <w:tcW w:w="7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B07DF8" w:rsidP="002E3B5B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243.629  </w:t>
            </w:r>
          </w:p>
        </w:tc>
        <w:tc>
          <w:tcPr>
            <w:tcW w:w="7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Default="00B07DF8" w:rsidP="002E3B5B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247.337 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00410" w:rsidRDefault="00555A60" w:rsidP="00B07DF8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  <w:r w:rsidR="00B07DF8"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</w:t>
            </w:r>
            <w:r w:rsidR="00B07DF8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</w:tr>
    </w:tbl>
    <w:p w:rsidR="00B40318" w:rsidRPr="00B11373" w:rsidRDefault="001C23D2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>Sukladno članku 39.st. 2. Pravilnika o proračunskom računovodstvu škola je evidentirala kontin</w:t>
      </w:r>
      <w:r w:rsidR="00F250D3" w:rsidRPr="00B11373">
        <w:rPr>
          <w:sz w:val="24"/>
          <w:szCs w:val="24"/>
        </w:rPr>
        <w:t>uiranje rashode za prosinac 201</w:t>
      </w:r>
      <w:r w:rsidR="00B07DF8">
        <w:rPr>
          <w:sz w:val="24"/>
          <w:szCs w:val="24"/>
        </w:rPr>
        <w:t>7</w:t>
      </w:r>
      <w:r w:rsidRPr="00B11373">
        <w:rPr>
          <w:sz w:val="24"/>
          <w:szCs w:val="24"/>
        </w:rPr>
        <w:t xml:space="preserve">. godine. </w:t>
      </w:r>
      <w:r w:rsidR="002A0860" w:rsidRPr="00B11373">
        <w:rPr>
          <w:sz w:val="24"/>
          <w:szCs w:val="24"/>
        </w:rPr>
        <w:t>Podatak iskazan na poziciji 158</w:t>
      </w:r>
      <w:r w:rsidRPr="00B11373">
        <w:rPr>
          <w:sz w:val="24"/>
          <w:szCs w:val="24"/>
        </w:rPr>
        <w:t xml:space="preserve"> odnosi se na plaću 12/</w:t>
      </w:r>
      <w:r w:rsidR="00F250D3" w:rsidRPr="00B11373">
        <w:rPr>
          <w:sz w:val="24"/>
          <w:szCs w:val="24"/>
        </w:rPr>
        <w:t>201</w:t>
      </w:r>
      <w:r w:rsidR="00B07DF8">
        <w:rPr>
          <w:sz w:val="24"/>
          <w:szCs w:val="24"/>
        </w:rPr>
        <w:t>7</w:t>
      </w:r>
      <w:r w:rsidR="00F250D3" w:rsidRPr="00B11373">
        <w:rPr>
          <w:sz w:val="24"/>
          <w:szCs w:val="24"/>
        </w:rPr>
        <w:t xml:space="preserve">. </w:t>
      </w:r>
      <w:r w:rsidR="00F0094B" w:rsidRPr="00B11373">
        <w:rPr>
          <w:sz w:val="24"/>
          <w:szCs w:val="24"/>
        </w:rPr>
        <w:t>godine.</w:t>
      </w:r>
    </w:p>
    <w:p w:rsidR="00525229" w:rsidRPr="00B11373" w:rsidRDefault="00525229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 xml:space="preserve">Bilješka uz AOP </w:t>
      </w:r>
      <w:r w:rsidR="003C1896" w:rsidRPr="00B11373">
        <w:rPr>
          <w:b/>
          <w:sz w:val="24"/>
          <w:szCs w:val="24"/>
        </w:rPr>
        <w:t>164</w:t>
      </w:r>
      <w:r w:rsidR="00022AF2" w:rsidRPr="00B11373">
        <w:rPr>
          <w:b/>
          <w:sz w:val="24"/>
          <w:szCs w:val="24"/>
        </w:rPr>
        <w:t xml:space="preserve"> - </w:t>
      </w:r>
      <w:r w:rsidR="003C1896" w:rsidRPr="00B11373">
        <w:rPr>
          <w:b/>
          <w:sz w:val="24"/>
          <w:szCs w:val="24"/>
        </w:rPr>
        <w:t xml:space="preserve"> Obveze za rashode poslovanja</w:t>
      </w:r>
    </w:p>
    <w:tbl>
      <w:tblPr>
        <w:tblStyle w:val="Srednjipopis2-Isticanje1"/>
        <w:tblW w:w="513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999"/>
        <w:gridCol w:w="2744"/>
        <w:gridCol w:w="632"/>
        <w:gridCol w:w="1504"/>
        <w:gridCol w:w="1364"/>
        <w:gridCol w:w="1298"/>
      </w:tblGrid>
      <w:tr w:rsidR="00611511" w:rsidRPr="00A67292" w:rsidTr="00F0094B">
        <w:trPr>
          <w:cnfStyle w:val="100000000000"/>
          <w:trHeight w:val="691"/>
        </w:trPr>
        <w:tc>
          <w:tcPr>
            <w:cnfStyle w:val="00100000010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CC7CC7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Račun iz </w:t>
            </w:r>
            <w:r w:rsidR="00611511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:rsidR="00611511" w:rsidRPr="00A67292" w:rsidRDefault="00611511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7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27C23" w:rsidP="0096384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1.siječnja 201</w:t>
            </w:r>
            <w:r w:rsidR="0096384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611511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27C23" w:rsidP="0096384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31. prosinca 201</w:t>
            </w:r>
            <w:r w:rsidR="0096384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</w:t>
            </w:r>
          </w:p>
          <w:p w:rsidR="00611511" w:rsidRPr="00A67292" w:rsidRDefault="00611511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(5/4)</w:t>
            </w:r>
          </w:p>
        </w:tc>
      </w:tr>
      <w:tr w:rsidR="00611511" w:rsidRPr="00A67292" w:rsidTr="00F0094B">
        <w:trPr>
          <w:cnfStyle w:val="000000100000"/>
          <w:trHeight w:val="457"/>
        </w:trPr>
        <w:tc>
          <w:tcPr>
            <w:cnfStyle w:val="00100000000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611511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8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A67292" w:rsidRDefault="00611511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611511" w:rsidRPr="00A67292" w:rsidTr="00F0094B">
        <w:trPr>
          <w:trHeight w:val="632"/>
        </w:trPr>
        <w:tc>
          <w:tcPr>
            <w:cnfStyle w:val="001000000000"/>
            <w:tcW w:w="104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657628" w:rsidP="00A67292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438" w:type="pct"/>
            <w:vAlign w:val="center"/>
          </w:tcPr>
          <w:p w:rsidR="00611511" w:rsidRPr="00A67292" w:rsidRDefault="00657628" w:rsidP="00B11373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Obveze</w:t>
            </w:r>
          </w:p>
        </w:tc>
        <w:tc>
          <w:tcPr>
            <w:tcW w:w="331" w:type="pct"/>
            <w:vAlign w:val="center"/>
          </w:tcPr>
          <w:p w:rsidR="00611511" w:rsidRPr="00A67292" w:rsidRDefault="00F6741E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163</w:t>
            </w:r>
          </w:p>
          <w:p w:rsidR="00611511" w:rsidRPr="00A67292" w:rsidRDefault="00611511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</w:p>
        </w:tc>
        <w:tc>
          <w:tcPr>
            <w:tcW w:w="788" w:type="pct"/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283.515 </w:t>
            </w:r>
          </w:p>
        </w:tc>
        <w:tc>
          <w:tcPr>
            <w:tcW w:w="715" w:type="pct"/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329.012</w:t>
            </w:r>
          </w:p>
        </w:tc>
        <w:tc>
          <w:tcPr>
            <w:tcW w:w="680" w:type="pct"/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116,0</w:t>
            </w:r>
          </w:p>
        </w:tc>
      </w:tr>
      <w:tr w:rsidR="00611511" w:rsidRPr="00A67292" w:rsidTr="00F0094B">
        <w:trPr>
          <w:cnfStyle w:val="000000100000"/>
          <w:trHeight w:val="457"/>
        </w:trPr>
        <w:tc>
          <w:tcPr>
            <w:cnfStyle w:val="00100000000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F6741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23</w:t>
            </w:r>
          </w:p>
        </w:tc>
        <w:tc>
          <w:tcPr>
            <w:tcW w:w="1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6741E" w:rsidP="00B11373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rashode poslovanja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6741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164</w:t>
            </w:r>
          </w:p>
        </w:tc>
        <w:tc>
          <w:tcPr>
            <w:tcW w:w="7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/>
              </w:rPr>
              <w:t>283.515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329.012</w:t>
            </w:r>
          </w:p>
        </w:tc>
        <w:tc>
          <w:tcPr>
            <w:tcW w:w="68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116,0</w:t>
            </w:r>
          </w:p>
        </w:tc>
      </w:tr>
      <w:tr w:rsidR="00611511" w:rsidRPr="00A67292" w:rsidTr="00F0094B">
        <w:trPr>
          <w:trHeight w:val="457"/>
        </w:trPr>
        <w:tc>
          <w:tcPr>
            <w:cnfStyle w:val="001000000000"/>
            <w:tcW w:w="104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F6741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231</w:t>
            </w:r>
          </w:p>
        </w:tc>
        <w:tc>
          <w:tcPr>
            <w:tcW w:w="1438" w:type="pct"/>
            <w:vAlign w:val="center"/>
          </w:tcPr>
          <w:p w:rsidR="00611511" w:rsidRPr="00A67292" w:rsidRDefault="00F6741E" w:rsidP="00B11373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zaposlene</w:t>
            </w:r>
          </w:p>
        </w:tc>
        <w:tc>
          <w:tcPr>
            <w:tcW w:w="331" w:type="pct"/>
            <w:vAlign w:val="center"/>
          </w:tcPr>
          <w:p w:rsidR="00611511" w:rsidRPr="00A67292" w:rsidRDefault="00F6741E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165</w:t>
            </w:r>
          </w:p>
        </w:tc>
        <w:tc>
          <w:tcPr>
            <w:tcW w:w="788" w:type="pct"/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247.268 </w:t>
            </w:r>
          </w:p>
        </w:tc>
        <w:tc>
          <w:tcPr>
            <w:tcW w:w="715" w:type="pct"/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255.304</w:t>
            </w:r>
          </w:p>
        </w:tc>
        <w:tc>
          <w:tcPr>
            <w:tcW w:w="680" w:type="pct"/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103,2</w:t>
            </w:r>
          </w:p>
        </w:tc>
      </w:tr>
      <w:tr w:rsidR="00611511" w:rsidRPr="00A67292" w:rsidTr="00F0094B">
        <w:trPr>
          <w:cnfStyle w:val="000000100000"/>
          <w:trHeight w:val="457"/>
        </w:trPr>
        <w:tc>
          <w:tcPr>
            <w:cnfStyle w:val="00100000000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F6741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232</w:t>
            </w:r>
          </w:p>
        </w:tc>
        <w:tc>
          <w:tcPr>
            <w:tcW w:w="1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6741E" w:rsidP="00B11373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materijalne rashode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F6741E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166</w:t>
            </w:r>
          </w:p>
        </w:tc>
        <w:tc>
          <w:tcPr>
            <w:tcW w:w="7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36.247 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A67292" w:rsidRDefault="00B07DF8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65.037</w:t>
            </w:r>
          </w:p>
        </w:tc>
        <w:tc>
          <w:tcPr>
            <w:tcW w:w="68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179,4</w:t>
            </w:r>
          </w:p>
        </w:tc>
      </w:tr>
      <w:tr w:rsidR="00611511" w:rsidRPr="00A67292" w:rsidTr="00F0094B">
        <w:trPr>
          <w:trHeight w:val="457"/>
        </w:trPr>
        <w:tc>
          <w:tcPr>
            <w:cnfStyle w:val="001000000000"/>
            <w:tcW w:w="104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A67292" w:rsidRDefault="00600C0C" w:rsidP="00A67292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239</w:t>
            </w:r>
          </w:p>
        </w:tc>
        <w:tc>
          <w:tcPr>
            <w:tcW w:w="1438" w:type="pct"/>
            <w:vAlign w:val="center"/>
          </w:tcPr>
          <w:p w:rsidR="00611511" w:rsidRPr="00A67292" w:rsidRDefault="00600C0C" w:rsidP="00B11373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Ostale tekuće obveze</w:t>
            </w:r>
          </w:p>
        </w:tc>
        <w:tc>
          <w:tcPr>
            <w:tcW w:w="331" w:type="pct"/>
            <w:vAlign w:val="center"/>
          </w:tcPr>
          <w:p w:rsidR="00611511" w:rsidRPr="00A67292" w:rsidRDefault="00F6741E" w:rsidP="00600C0C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17</w:t>
            </w:r>
            <w:r w:rsidR="00600C0C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788" w:type="pct"/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</w:p>
        </w:tc>
        <w:tc>
          <w:tcPr>
            <w:tcW w:w="715" w:type="pct"/>
            <w:vAlign w:val="center"/>
          </w:tcPr>
          <w:p w:rsidR="00611511" w:rsidRPr="00A67292" w:rsidRDefault="00600C0C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8.671</w:t>
            </w:r>
          </w:p>
        </w:tc>
        <w:tc>
          <w:tcPr>
            <w:tcW w:w="680" w:type="pct"/>
            <w:vAlign w:val="center"/>
          </w:tcPr>
          <w:p w:rsidR="00611511" w:rsidRPr="00A67292" w:rsidRDefault="002944CA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  <w:r w:rsidR="00B11373">
              <w:rPr>
                <w:rFonts w:asciiTheme="minorHAnsi" w:eastAsiaTheme="minorEastAsia" w:hAnsiTheme="minorHAnsi"/>
              </w:rPr>
              <w:t>,0</w:t>
            </w:r>
          </w:p>
        </w:tc>
      </w:tr>
    </w:tbl>
    <w:p w:rsidR="001342B1" w:rsidRPr="00B11373" w:rsidRDefault="00246B66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>Iz horizontalne analize pojedini</w:t>
      </w:r>
      <w:r w:rsidR="002944CA" w:rsidRPr="00B11373">
        <w:rPr>
          <w:sz w:val="24"/>
          <w:szCs w:val="24"/>
        </w:rPr>
        <w:t xml:space="preserve">h pozicija vidljivo je </w:t>
      </w:r>
      <w:r w:rsidR="00600C0C">
        <w:rPr>
          <w:sz w:val="24"/>
          <w:szCs w:val="24"/>
        </w:rPr>
        <w:t>povećanje</w:t>
      </w:r>
      <w:r w:rsidR="002944CA" w:rsidRPr="00B11373">
        <w:rPr>
          <w:sz w:val="24"/>
          <w:szCs w:val="24"/>
        </w:rPr>
        <w:t xml:space="preserve">iskazanih obveza </w:t>
      </w:r>
      <w:r w:rsidRPr="00B11373">
        <w:rPr>
          <w:sz w:val="24"/>
          <w:szCs w:val="24"/>
        </w:rPr>
        <w:t xml:space="preserve"> na kraju godine u odnosu na početak godine.</w:t>
      </w:r>
      <w:r w:rsidR="00F0094B" w:rsidRPr="00B11373">
        <w:rPr>
          <w:sz w:val="24"/>
          <w:szCs w:val="24"/>
        </w:rPr>
        <w:t xml:space="preserve"> Povećan</w:t>
      </w:r>
      <w:r w:rsidR="00600C0C">
        <w:rPr>
          <w:sz w:val="24"/>
          <w:szCs w:val="24"/>
        </w:rPr>
        <w:t>j</w:t>
      </w:r>
      <w:r w:rsidR="00F0094B" w:rsidRPr="00B11373">
        <w:rPr>
          <w:sz w:val="24"/>
          <w:szCs w:val="24"/>
        </w:rPr>
        <w:t>e s</w:t>
      </w:r>
      <w:r w:rsidR="00600C0C">
        <w:rPr>
          <w:sz w:val="24"/>
          <w:szCs w:val="24"/>
        </w:rPr>
        <w:t>ekreće od 3,2% do 79,4%.</w:t>
      </w:r>
      <w:r w:rsidR="002944CA" w:rsidRPr="00B11373">
        <w:rPr>
          <w:sz w:val="24"/>
          <w:szCs w:val="24"/>
        </w:rPr>
        <w:t xml:space="preserve">Okružnicom </w:t>
      </w:r>
      <w:r w:rsidRPr="00B11373">
        <w:rPr>
          <w:sz w:val="24"/>
          <w:szCs w:val="24"/>
        </w:rPr>
        <w:t xml:space="preserve"> Ministarstva financija bilo je omogućeno odstupanje od primjene gotovinskog načela iskazivanja prihoda propisanog Pravilnikom o proračunskom računovodstvu i Računskom planu kod evidencije doznaka sredstava pomoći izravnanja za decentralizirane funkcije.</w:t>
      </w:r>
      <w:r w:rsidR="00676596" w:rsidRPr="00B11373">
        <w:rPr>
          <w:sz w:val="24"/>
          <w:szCs w:val="24"/>
        </w:rPr>
        <w:t xml:space="preserve"> Do 2014. godine korisnici su priznavali prihode 2014. godine koje su dobili od nadležne jedinice lokalne samouprave u 2015.</w:t>
      </w:r>
      <w:r w:rsidR="00D560D1" w:rsidRPr="00B11373">
        <w:rPr>
          <w:sz w:val="24"/>
          <w:szCs w:val="24"/>
        </w:rPr>
        <w:t>godini</w:t>
      </w:r>
      <w:r w:rsidR="00676596" w:rsidRPr="00B11373">
        <w:rPr>
          <w:sz w:val="24"/>
          <w:szCs w:val="24"/>
        </w:rPr>
        <w:t xml:space="preserve"> za podmirenje obaveza po rashodima koji se financiraju iz pomoći izravnanja. To odstupanje se više ne </w:t>
      </w:r>
      <w:r w:rsidR="00AB45F2" w:rsidRPr="00B11373">
        <w:rPr>
          <w:sz w:val="24"/>
          <w:szCs w:val="24"/>
        </w:rPr>
        <w:t>primjenjuje od</w:t>
      </w:r>
      <w:r w:rsidR="00676596" w:rsidRPr="00B11373">
        <w:rPr>
          <w:sz w:val="24"/>
          <w:szCs w:val="24"/>
        </w:rPr>
        <w:t xml:space="preserve"> 2015. godin</w:t>
      </w:r>
      <w:r w:rsidR="00D560D1" w:rsidRPr="00B11373">
        <w:rPr>
          <w:sz w:val="24"/>
          <w:szCs w:val="24"/>
        </w:rPr>
        <w:t>e</w:t>
      </w:r>
      <w:r w:rsidR="00676596" w:rsidRPr="00B11373">
        <w:rPr>
          <w:sz w:val="24"/>
          <w:szCs w:val="24"/>
        </w:rPr>
        <w:t xml:space="preserve"> i škola je kao proračunski korisnik iskazala</w:t>
      </w:r>
      <w:r w:rsidR="002944CA" w:rsidRPr="00B11373">
        <w:rPr>
          <w:sz w:val="24"/>
          <w:szCs w:val="24"/>
        </w:rPr>
        <w:t xml:space="preserve"> rashode i obveza nastale u 201</w:t>
      </w:r>
      <w:r w:rsidR="0019222A">
        <w:rPr>
          <w:sz w:val="24"/>
          <w:szCs w:val="24"/>
        </w:rPr>
        <w:t>7</w:t>
      </w:r>
      <w:r w:rsidR="00676596" w:rsidRPr="00B11373">
        <w:rPr>
          <w:sz w:val="24"/>
          <w:szCs w:val="24"/>
        </w:rPr>
        <w:t xml:space="preserve">. godini bez obzira  što te obveze nisu podmirene u </w:t>
      </w:r>
      <w:r w:rsidR="002944CA" w:rsidRPr="00B11373">
        <w:rPr>
          <w:sz w:val="24"/>
          <w:szCs w:val="24"/>
        </w:rPr>
        <w:t>201</w:t>
      </w:r>
      <w:r w:rsidR="0019222A">
        <w:rPr>
          <w:sz w:val="24"/>
          <w:szCs w:val="24"/>
        </w:rPr>
        <w:t>7</w:t>
      </w:r>
      <w:r w:rsidR="00676596" w:rsidRPr="00B11373">
        <w:rPr>
          <w:sz w:val="24"/>
          <w:szCs w:val="24"/>
        </w:rPr>
        <w:t>. godini</w:t>
      </w:r>
      <w:r w:rsidR="00D560D1" w:rsidRPr="00B11373">
        <w:rPr>
          <w:sz w:val="24"/>
          <w:szCs w:val="24"/>
        </w:rPr>
        <w:t>,</w:t>
      </w:r>
      <w:r w:rsidR="00676596" w:rsidRPr="00B11373">
        <w:rPr>
          <w:sz w:val="24"/>
          <w:szCs w:val="24"/>
        </w:rPr>
        <w:t xml:space="preserve"> jer su sredstva školi</w:t>
      </w:r>
      <w:r w:rsidR="002944CA" w:rsidRPr="00B11373">
        <w:rPr>
          <w:sz w:val="24"/>
          <w:szCs w:val="24"/>
        </w:rPr>
        <w:t xml:space="preserve"> za iste obveze doznačena u 201</w:t>
      </w:r>
      <w:r w:rsidR="0019222A">
        <w:rPr>
          <w:sz w:val="24"/>
          <w:szCs w:val="24"/>
        </w:rPr>
        <w:t>8</w:t>
      </w:r>
      <w:r w:rsidR="002944CA" w:rsidRPr="00B11373">
        <w:rPr>
          <w:sz w:val="24"/>
          <w:szCs w:val="24"/>
        </w:rPr>
        <w:t>. godini. Unatoč</w:t>
      </w:r>
      <w:r w:rsidR="00676596" w:rsidRPr="00B11373">
        <w:rPr>
          <w:sz w:val="24"/>
          <w:szCs w:val="24"/>
        </w:rPr>
        <w:t xml:space="preserve"> modificirano</w:t>
      </w:r>
      <w:r w:rsidR="00D560D1" w:rsidRPr="00B11373">
        <w:rPr>
          <w:sz w:val="24"/>
          <w:szCs w:val="24"/>
        </w:rPr>
        <w:t>m</w:t>
      </w:r>
      <w:r w:rsidR="00676596" w:rsidRPr="00B11373">
        <w:rPr>
          <w:sz w:val="24"/>
          <w:szCs w:val="24"/>
        </w:rPr>
        <w:t xml:space="preserve"> načel</w:t>
      </w:r>
      <w:r w:rsidR="00D560D1" w:rsidRPr="00B11373">
        <w:rPr>
          <w:sz w:val="24"/>
          <w:szCs w:val="24"/>
        </w:rPr>
        <w:t>u</w:t>
      </w:r>
      <w:r w:rsidR="00676596" w:rsidRPr="00B11373">
        <w:rPr>
          <w:sz w:val="24"/>
          <w:szCs w:val="24"/>
        </w:rPr>
        <w:t xml:space="preserve"> nastanka događaja šk</w:t>
      </w:r>
      <w:r w:rsidR="002944CA" w:rsidRPr="00B11373">
        <w:rPr>
          <w:sz w:val="24"/>
          <w:szCs w:val="24"/>
        </w:rPr>
        <w:t>ola je završila 201</w:t>
      </w:r>
      <w:r w:rsidR="0019222A">
        <w:rPr>
          <w:sz w:val="24"/>
          <w:szCs w:val="24"/>
        </w:rPr>
        <w:t>7</w:t>
      </w:r>
      <w:r w:rsidR="002944CA" w:rsidRPr="00B11373">
        <w:rPr>
          <w:sz w:val="24"/>
          <w:szCs w:val="24"/>
        </w:rPr>
        <w:t>. godinu s viškom. Iz sredstava</w:t>
      </w:r>
      <w:r w:rsidR="00D560D1" w:rsidRPr="00B11373">
        <w:rPr>
          <w:sz w:val="24"/>
          <w:szCs w:val="24"/>
        </w:rPr>
        <w:t xml:space="preserve"> participacija učenika</w:t>
      </w:r>
      <w:r w:rsidR="002944CA" w:rsidRPr="00B11373">
        <w:rPr>
          <w:sz w:val="24"/>
          <w:szCs w:val="24"/>
        </w:rPr>
        <w:t xml:space="preserve"> su plaćene obaveze za koje sredstva očekujemo u 201</w:t>
      </w:r>
      <w:r w:rsidR="0019222A">
        <w:rPr>
          <w:sz w:val="24"/>
          <w:szCs w:val="24"/>
        </w:rPr>
        <w:t>8</w:t>
      </w:r>
      <w:r w:rsidR="002944CA" w:rsidRPr="00B11373">
        <w:rPr>
          <w:sz w:val="24"/>
          <w:szCs w:val="24"/>
        </w:rPr>
        <w:t xml:space="preserve">. </w:t>
      </w:r>
      <w:r w:rsidR="00D560D1" w:rsidRPr="00B11373">
        <w:rPr>
          <w:sz w:val="24"/>
          <w:szCs w:val="24"/>
        </w:rPr>
        <w:t>g</w:t>
      </w:r>
      <w:r w:rsidR="002944CA" w:rsidRPr="00B11373">
        <w:rPr>
          <w:sz w:val="24"/>
          <w:szCs w:val="24"/>
        </w:rPr>
        <w:t>odini, te je zbog toga u bilanci došlo do smanjenja iskazanih obaveza.</w:t>
      </w:r>
    </w:p>
    <w:p w:rsidR="00022AF2" w:rsidRPr="00B11373" w:rsidRDefault="009A6AA0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lastRenderedPageBreak/>
        <w:t xml:space="preserve">Bilješke uz AOP 234–Višak </w:t>
      </w:r>
      <w:r w:rsidR="00A36221" w:rsidRPr="00B11373">
        <w:rPr>
          <w:b/>
          <w:sz w:val="24"/>
          <w:szCs w:val="24"/>
        </w:rPr>
        <w:t xml:space="preserve"> poslovanja</w:t>
      </w:r>
    </w:p>
    <w:tbl>
      <w:tblPr>
        <w:tblStyle w:val="Srednjipopis2-Isticanje1"/>
        <w:tblW w:w="489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952"/>
        <w:gridCol w:w="2970"/>
        <w:gridCol w:w="950"/>
        <w:gridCol w:w="1455"/>
        <w:gridCol w:w="29"/>
        <w:gridCol w:w="1710"/>
        <w:gridCol w:w="29"/>
      </w:tblGrid>
      <w:tr w:rsidR="00AD7FE3" w:rsidRPr="00A67292" w:rsidTr="00A67292">
        <w:trPr>
          <w:gridAfter w:val="1"/>
          <w:cnfStyle w:val="100000000000"/>
          <w:wAfter w:w="16" w:type="pct"/>
          <w:trHeight w:val="819"/>
        </w:trPr>
        <w:tc>
          <w:tcPr>
            <w:cnfStyle w:val="001000000100"/>
            <w:tcW w:w="10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A67292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izračunskog</w:t>
            </w:r>
          </w:p>
          <w:p w:rsidR="00AD7FE3" w:rsidRPr="00A67292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A67292" w:rsidRDefault="00AD7FE3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A67292" w:rsidRDefault="00AD7FE3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</w:tc>
        <w:tc>
          <w:tcPr>
            <w:tcW w:w="8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A67292" w:rsidRDefault="00AD7FE3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PR-RAS</w:t>
            </w:r>
          </w:p>
        </w:tc>
        <w:tc>
          <w:tcPr>
            <w:tcW w:w="9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A67292" w:rsidRDefault="00AD7FE3" w:rsidP="00A67292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BILANCA</w:t>
            </w:r>
          </w:p>
        </w:tc>
      </w:tr>
      <w:tr w:rsidR="00AD7FE3" w:rsidRPr="00CC7CC7" w:rsidTr="00A67292">
        <w:trPr>
          <w:cnfStyle w:val="000000100000"/>
          <w:trHeight w:val="457"/>
        </w:trPr>
        <w:tc>
          <w:tcPr>
            <w:cnfStyle w:val="001000000000"/>
            <w:tcW w:w="10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CC7CC7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C7CC7" w:rsidRDefault="00AD7FE3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C7CC7" w:rsidRDefault="00AD7FE3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8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C7CC7" w:rsidRDefault="00AD7FE3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9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7FE3" w:rsidRPr="00CC7CC7" w:rsidRDefault="00AD7FE3" w:rsidP="00A67292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</w:tr>
      <w:tr w:rsidR="00AD7FE3" w:rsidRPr="00CC7CC7" w:rsidTr="00A67292">
        <w:trPr>
          <w:trHeight w:val="873"/>
        </w:trPr>
        <w:tc>
          <w:tcPr>
            <w:cnfStyle w:val="001000000000"/>
            <w:tcW w:w="107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CC7CC7" w:rsidRDefault="009A6AA0" w:rsidP="00A67292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9221</w:t>
            </w:r>
          </w:p>
        </w:tc>
        <w:tc>
          <w:tcPr>
            <w:tcW w:w="1633" w:type="pct"/>
            <w:vAlign w:val="center"/>
          </w:tcPr>
          <w:p w:rsidR="00AD7FE3" w:rsidRPr="00CC7CC7" w:rsidRDefault="009A6AA0" w:rsidP="00B11373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Višak </w:t>
            </w:r>
            <w:r w:rsidR="00AD7FE3" w:rsidRPr="00CC7CC7">
              <w:rPr>
                <w:rFonts w:asciiTheme="minorHAnsi" w:eastAsiaTheme="minorEastAsia" w:hAnsiTheme="minorHAnsi"/>
              </w:rPr>
              <w:t xml:space="preserve"> prihoda poslovanja</w:t>
            </w:r>
          </w:p>
        </w:tc>
        <w:tc>
          <w:tcPr>
            <w:tcW w:w="522" w:type="pct"/>
            <w:vAlign w:val="center"/>
          </w:tcPr>
          <w:p w:rsidR="00A67292" w:rsidRDefault="00A67292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</w:p>
          <w:p w:rsidR="00AD7FE3" w:rsidRPr="00CC7CC7" w:rsidRDefault="009A6AA0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</w:t>
            </w:r>
            <w:r w:rsidR="002B0AD6">
              <w:rPr>
                <w:rFonts w:asciiTheme="minorHAnsi" w:eastAsiaTheme="minorEastAsia" w:hAnsiTheme="minorHAnsi"/>
              </w:rPr>
              <w:t>2</w:t>
            </w:r>
          </w:p>
          <w:p w:rsidR="00AD7FE3" w:rsidRPr="00CC7CC7" w:rsidRDefault="00AD7FE3" w:rsidP="00A67292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AD7FE3" w:rsidRPr="00CC7CC7" w:rsidRDefault="002B0AD6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59.355</w:t>
            </w:r>
          </w:p>
        </w:tc>
        <w:tc>
          <w:tcPr>
            <w:tcW w:w="956" w:type="pct"/>
            <w:gridSpan w:val="2"/>
            <w:vAlign w:val="center"/>
          </w:tcPr>
          <w:p w:rsidR="00AD7FE3" w:rsidRPr="00CC7CC7" w:rsidRDefault="002B0AD6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59.355</w:t>
            </w:r>
          </w:p>
        </w:tc>
      </w:tr>
    </w:tbl>
    <w:p w:rsidR="000B0DD5" w:rsidRDefault="000B0DD5" w:rsidP="00C822C0">
      <w:pPr>
        <w:spacing w:after="120"/>
      </w:pPr>
    </w:p>
    <w:p w:rsidR="0025530A" w:rsidRDefault="0025530A" w:rsidP="00C822C0">
      <w:pPr>
        <w:spacing w:after="120"/>
        <w:rPr>
          <w:b/>
        </w:rPr>
      </w:pPr>
    </w:p>
    <w:p w:rsidR="000B0DD5" w:rsidRPr="00B11373" w:rsidRDefault="000B0DD5" w:rsidP="00C822C0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>Struktura poslovnog rezultata iskazanog</w:t>
      </w:r>
      <w:r w:rsidR="00E33D69">
        <w:rPr>
          <w:b/>
          <w:sz w:val="24"/>
          <w:szCs w:val="24"/>
        </w:rPr>
        <w:t xml:space="preserve"> viška/</w:t>
      </w:r>
      <w:r w:rsidRPr="00B11373">
        <w:rPr>
          <w:b/>
          <w:sz w:val="24"/>
          <w:szCs w:val="24"/>
        </w:rPr>
        <w:t xml:space="preserve">manjka </w:t>
      </w:r>
      <w:r w:rsidR="00B520FB" w:rsidRPr="00B11373">
        <w:rPr>
          <w:b/>
          <w:sz w:val="24"/>
          <w:szCs w:val="24"/>
        </w:rPr>
        <w:t>201</w:t>
      </w:r>
      <w:r w:rsidR="00E33D69">
        <w:rPr>
          <w:b/>
          <w:sz w:val="24"/>
          <w:szCs w:val="24"/>
        </w:rPr>
        <w:t>7</w:t>
      </w:r>
      <w:r w:rsidRPr="00B11373">
        <w:rPr>
          <w:b/>
          <w:sz w:val="24"/>
          <w:szCs w:val="24"/>
        </w:rPr>
        <w:t>. godine – po izvorima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2569"/>
        <w:gridCol w:w="3156"/>
        <w:gridCol w:w="1150"/>
        <w:gridCol w:w="1239"/>
        <w:gridCol w:w="1174"/>
      </w:tblGrid>
      <w:tr w:rsidR="0067262E" w:rsidTr="00383726">
        <w:trPr>
          <w:cnfStyle w:val="100000000000"/>
        </w:trPr>
        <w:tc>
          <w:tcPr>
            <w:cnfStyle w:val="00100000010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3B3EE0" w:rsidRPr="0025530A" w:rsidRDefault="003B3EE0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6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Pr="0025530A" w:rsidRDefault="003B3EE0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Pr="0025530A" w:rsidRDefault="00BA5271" w:rsidP="002B0AD6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Preneseni </w:t>
            </w:r>
            <w:r w:rsidR="00F76DD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poslovni rezultat 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201</w:t>
            </w:r>
            <w:r w:rsidR="002B0AD6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6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godine.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Pr="0025530A" w:rsidRDefault="00BA5271" w:rsidP="002B0AD6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Rezultat poslovanja 201</w:t>
            </w:r>
            <w:r w:rsidR="002B0AD6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godine</w:t>
            </w:r>
          </w:p>
        </w:tc>
        <w:tc>
          <w:tcPr>
            <w:tcW w:w="6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Pr="0025530A" w:rsidRDefault="003411D6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Višak prihoda raspoloživ u sljedećem razdoblju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)</w:t>
            </w:r>
          </w:p>
        </w:tc>
      </w:tr>
      <w:tr w:rsidR="0067262E" w:rsidTr="00383726">
        <w:trPr>
          <w:cnfStyle w:val="000000100000"/>
        </w:trPr>
        <w:tc>
          <w:tcPr>
            <w:cnfStyle w:val="00100000000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3B3EE0" w:rsidRDefault="003B3EE0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6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Default="003B3EE0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Default="003B3EE0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3EE0" w:rsidRDefault="003B3EE0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B3EE0" w:rsidRDefault="003B3EE0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67262E" w:rsidTr="002B0AD6">
        <w:tc>
          <w:tcPr>
            <w:cnfStyle w:val="001000000000"/>
            <w:tcW w:w="1383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:rsidR="003B3EE0" w:rsidRDefault="003B3EE0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92211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B3EE0" w:rsidRDefault="003B3EE0" w:rsidP="00B11373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Višak prihoda poslovanja </w:t>
            </w:r>
            <w:r w:rsidR="00383726">
              <w:rPr>
                <w:rFonts w:asciiTheme="minorHAnsi" w:eastAsiaTheme="minorEastAsia" w:hAnsiTheme="minorHAnsi" w:cstheme="minorBidi"/>
                <w:color w:val="auto"/>
              </w:rPr>
              <w:t>Participacije učenika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3B3EE0" w:rsidRDefault="002B0AD6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61.892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3B3EE0" w:rsidRDefault="002B0AD6" w:rsidP="002B0AD6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111.671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3B3EE0" w:rsidRDefault="004B4D01" w:rsidP="00B1137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173.563</w:t>
            </w:r>
          </w:p>
        </w:tc>
      </w:tr>
      <w:tr w:rsidR="002B0AD6" w:rsidTr="002B0AD6">
        <w:trPr>
          <w:cnfStyle w:val="000000100000"/>
        </w:trPr>
        <w:tc>
          <w:tcPr>
            <w:cnfStyle w:val="00100000000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AD6" w:rsidRDefault="002B0AD6" w:rsidP="002B0AD6">
            <w:pPr>
              <w:spacing w:after="120"/>
              <w:jc w:val="center"/>
            </w:pPr>
            <w:r>
              <w:t>92211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Višak prihoda poslovanja donacije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jc w:val="right"/>
              <w:cnfStyle w:val="000000100000"/>
            </w:pPr>
            <w: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jc w:val="right"/>
              <w:cnfStyle w:val="000000100000"/>
            </w:pPr>
            <w:r>
              <w:t>6.757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4B4D01" w:rsidP="002B0AD6">
            <w:pPr>
              <w:spacing w:after="120"/>
              <w:jc w:val="right"/>
              <w:cnfStyle w:val="000000100000"/>
            </w:pPr>
            <w:r>
              <w:t>6.757</w:t>
            </w:r>
          </w:p>
        </w:tc>
      </w:tr>
      <w:tr w:rsidR="002B0AD6" w:rsidTr="004B4D01">
        <w:tc>
          <w:tcPr>
            <w:cnfStyle w:val="001000000000"/>
            <w:tcW w:w="1383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:rsidR="002B0AD6" w:rsidRPr="00CC7CC7" w:rsidRDefault="002B0AD6" w:rsidP="002B0AD6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 w:rsidRPr="00CC7CC7">
              <w:rPr>
                <w:rFonts w:asciiTheme="minorHAnsi" w:eastAsiaTheme="minorEastAsia" w:hAnsiTheme="minorHAnsi"/>
              </w:rPr>
              <w:t>92221</w:t>
            </w: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AD6" w:rsidRPr="00CC7CC7" w:rsidRDefault="002B0AD6" w:rsidP="002B0AD6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 w:rsidRPr="00CC7CC7">
              <w:rPr>
                <w:rFonts w:asciiTheme="minorHAnsi" w:eastAsiaTheme="minorEastAsia" w:hAnsiTheme="minorHAnsi"/>
              </w:rPr>
              <w:t xml:space="preserve">Manjak </w:t>
            </w: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prihoda</w:t>
            </w:r>
            <w:r w:rsidRPr="00CC7CC7">
              <w:rPr>
                <w:rFonts w:asciiTheme="minorHAnsi" w:eastAsiaTheme="minorEastAsia" w:hAnsiTheme="minorHAnsi"/>
              </w:rPr>
              <w:t xml:space="preserve"> p</w:t>
            </w: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o</w:t>
            </w:r>
            <w:r w:rsidRPr="00CC7CC7">
              <w:rPr>
                <w:rFonts w:asciiTheme="minorHAnsi" w:eastAsiaTheme="minorEastAsia" w:hAnsiTheme="minorHAnsi"/>
              </w:rPr>
              <w:t>slovanja Županija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AD6" w:rsidRPr="00CC7CC7" w:rsidRDefault="002B0AD6" w:rsidP="002B0AD6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-20.696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AD6" w:rsidRPr="00CC7CC7" w:rsidRDefault="002B0AD6" w:rsidP="002B0AD6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-73.102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AD6" w:rsidRPr="00CC7CC7" w:rsidRDefault="004B4D01" w:rsidP="002B0AD6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-93.798</w:t>
            </w:r>
          </w:p>
        </w:tc>
      </w:tr>
      <w:tr w:rsidR="002B0AD6" w:rsidTr="004B4D01">
        <w:trPr>
          <w:cnfStyle w:val="000000100000"/>
        </w:trPr>
        <w:tc>
          <w:tcPr>
            <w:cnfStyle w:val="00100000000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AD6" w:rsidRPr="00CC7CC7" w:rsidRDefault="002B0AD6" w:rsidP="002B0AD6">
            <w:pPr>
              <w:spacing w:after="120"/>
              <w:jc w:val="center"/>
            </w:pPr>
            <w:r>
              <w:t>92221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cnfStyle w:val="000000100000"/>
            </w:pPr>
            <w:r>
              <w:t>Manjak prihoda poslovanja</w:t>
            </w:r>
          </w:p>
          <w:p w:rsidR="002B0AD6" w:rsidRPr="00CC7CC7" w:rsidRDefault="002B0AD6" w:rsidP="002B0AD6">
            <w:pPr>
              <w:spacing w:after="120"/>
              <w:cnfStyle w:val="000000100000"/>
            </w:pPr>
            <w:r>
              <w:t>Ministarstvo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jc w:val="right"/>
              <w:cnfStyle w:val="000000100000"/>
            </w:pPr>
            <w:r>
              <w:t>-23.077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2B0AD6" w:rsidP="002B0AD6">
            <w:pPr>
              <w:spacing w:after="120"/>
              <w:jc w:val="right"/>
              <w:cnfStyle w:val="000000100000"/>
            </w:pPr>
            <w:r>
              <w:t>-4.090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6" w:rsidRDefault="004B4D01" w:rsidP="002B0AD6">
            <w:pPr>
              <w:spacing w:after="120"/>
              <w:jc w:val="right"/>
              <w:cnfStyle w:val="000000100000"/>
            </w:pPr>
            <w:r>
              <w:t>-27.167</w:t>
            </w:r>
          </w:p>
        </w:tc>
      </w:tr>
      <w:tr w:rsidR="002B0AD6" w:rsidTr="004B4D01">
        <w:tc>
          <w:tcPr>
            <w:cnfStyle w:val="001000000000"/>
            <w:tcW w:w="4368" w:type="pct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2B0AD6" w:rsidRPr="00CC7CC7" w:rsidRDefault="002B0AD6" w:rsidP="002B0AD6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  <w:r w:rsidRPr="00CC7CC7">
              <w:rPr>
                <w:rFonts w:asciiTheme="minorHAnsi" w:eastAsiaTheme="minorEastAsia" w:hAnsiTheme="minorHAnsi"/>
                <w:b/>
              </w:rPr>
              <w:t>Poslovni rezultat/</w:t>
            </w:r>
            <w:r>
              <w:rPr>
                <w:rFonts w:asciiTheme="minorHAnsi" w:eastAsiaTheme="minorEastAsia" w:hAnsiTheme="minorHAnsi"/>
                <w:b/>
              </w:rPr>
              <w:t>višak prihoda Poslovanja 201</w:t>
            </w:r>
            <w:r w:rsidR="00E33D69">
              <w:rPr>
                <w:rFonts w:asciiTheme="minorHAnsi" w:eastAsiaTheme="minorEastAsia" w:hAnsiTheme="minorHAnsi"/>
                <w:b/>
              </w:rPr>
              <w:t>7</w:t>
            </w:r>
            <w:r w:rsidRPr="00CC7CC7">
              <w:rPr>
                <w:rFonts w:asciiTheme="minorHAnsi" w:eastAsiaTheme="minorEastAsia" w:hAnsiTheme="minorHAnsi"/>
                <w:b/>
              </w:rPr>
              <w:t>. godine</w:t>
            </w:r>
          </w:p>
          <w:p w:rsidR="002B0AD6" w:rsidRPr="00CC7CC7" w:rsidRDefault="002B0AD6" w:rsidP="004B4D01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Iskazan u  PR-RAS-u ( AOP 63</w:t>
            </w:r>
            <w:r w:rsidR="004B4D01">
              <w:rPr>
                <w:rFonts w:asciiTheme="minorHAnsi" w:eastAsiaTheme="minorEastAsia" w:hAnsiTheme="minorHAnsi"/>
                <w:b/>
              </w:rPr>
              <w:t>5</w:t>
            </w:r>
            <w:r w:rsidRPr="00CC7CC7">
              <w:rPr>
                <w:rFonts w:asciiTheme="minorHAnsi" w:eastAsiaTheme="minorEastAsia" w:hAnsiTheme="minorHAnsi"/>
                <w:b/>
              </w:rPr>
              <w:t xml:space="preserve">) i </w:t>
            </w:r>
            <w:r>
              <w:rPr>
                <w:rFonts w:asciiTheme="minorHAnsi" w:eastAsiaTheme="minorEastAsia" w:hAnsiTheme="minorHAnsi"/>
                <w:b/>
              </w:rPr>
              <w:t>Bilanci( AOP 23</w:t>
            </w:r>
            <w:r w:rsidR="004B4D01">
              <w:rPr>
                <w:rFonts w:asciiTheme="minorHAnsi" w:eastAsiaTheme="minorEastAsia" w:hAnsiTheme="minorHAnsi"/>
                <w:b/>
              </w:rPr>
              <w:t>2</w:t>
            </w:r>
            <w:r w:rsidRPr="00CC7CC7">
              <w:rPr>
                <w:rFonts w:asciiTheme="minorHAnsi" w:eastAsiaTheme="minorEastAsia" w:hAnsiTheme="minorHAnsi"/>
                <w:b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2B0AD6" w:rsidRPr="00CC7CC7" w:rsidRDefault="004B4D01" w:rsidP="002B0AD6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59.355</w:t>
            </w:r>
          </w:p>
        </w:tc>
      </w:tr>
    </w:tbl>
    <w:p w:rsidR="0090640C" w:rsidRDefault="0090640C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 xml:space="preserve">Škola je za 2015. godinu iskazala </w:t>
      </w:r>
      <w:r w:rsidR="00165AA5" w:rsidRPr="00B11373">
        <w:rPr>
          <w:sz w:val="24"/>
          <w:szCs w:val="24"/>
        </w:rPr>
        <w:t>višak</w:t>
      </w:r>
      <w:r w:rsidRPr="00B11373">
        <w:rPr>
          <w:sz w:val="24"/>
          <w:szCs w:val="24"/>
        </w:rPr>
        <w:t xml:space="preserve"> prihoda poslovanja</w:t>
      </w:r>
      <w:r w:rsidR="00165AA5" w:rsidRPr="00B11373">
        <w:rPr>
          <w:sz w:val="24"/>
          <w:szCs w:val="24"/>
        </w:rPr>
        <w:t xml:space="preserve"> u iznosu od 50.958 kn</w:t>
      </w:r>
      <w:r w:rsidRPr="00B11373">
        <w:rPr>
          <w:sz w:val="24"/>
          <w:szCs w:val="24"/>
        </w:rPr>
        <w:t xml:space="preserve"> zbog modificiranog načela nastanka događaja.  Do 2014. godine korisnici su priznavali prihode 2014. godine koje su dobili od nadležne jedinice lokalne samouprave u 2015. godini za podmirenje obaveza po rashodima koji se financiraju iz pomoći izravnanja. To odst</w:t>
      </w:r>
      <w:r w:rsidR="0048706D" w:rsidRPr="00B11373">
        <w:rPr>
          <w:sz w:val="24"/>
          <w:szCs w:val="24"/>
        </w:rPr>
        <w:t xml:space="preserve">upanje se više ne promjenjuje od </w:t>
      </w:r>
      <w:r w:rsidR="00585504" w:rsidRPr="00B11373">
        <w:rPr>
          <w:sz w:val="24"/>
          <w:szCs w:val="24"/>
        </w:rPr>
        <w:t xml:space="preserve">2015. </w:t>
      </w:r>
      <w:r w:rsidR="00165AA5" w:rsidRPr="00B11373">
        <w:rPr>
          <w:sz w:val="24"/>
          <w:szCs w:val="24"/>
        </w:rPr>
        <w:t>g</w:t>
      </w:r>
      <w:r w:rsidR="00585504" w:rsidRPr="00B11373">
        <w:rPr>
          <w:sz w:val="24"/>
          <w:szCs w:val="24"/>
        </w:rPr>
        <w:t>odini. Š</w:t>
      </w:r>
      <w:r w:rsidRPr="00B11373">
        <w:rPr>
          <w:sz w:val="24"/>
          <w:szCs w:val="24"/>
        </w:rPr>
        <w:t>kola je kao proračunski korisnik iskazala</w:t>
      </w:r>
      <w:r w:rsidR="0048706D" w:rsidRPr="00B11373">
        <w:rPr>
          <w:sz w:val="24"/>
          <w:szCs w:val="24"/>
        </w:rPr>
        <w:t xml:space="preserve"> rashode i obveza nastale u 201</w:t>
      </w:r>
      <w:r w:rsidR="00B243B0">
        <w:rPr>
          <w:sz w:val="24"/>
          <w:szCs w:val="24"/>
        </w:rPr>
        <w:t>7</w:t>
      </w:r>
      <w:r w:rsidRPr="00B11373">
        <w:rPr>
          <w:sz w:val="24"/>
          <w:szCs w:val="24"/>
        </w:rPr>
        <w:t>. godini bez obzira  što te</w:t>
      </w:r>
      <w:r w:rsidR="0048706D" w:rsidRPr="00B11373">
        <w:rPr>
          <w:sz w:val="24"/>
          <w:szCs w:val="24"/>
        </w:rPr>
        <w:t xml:space="preserve"> obveze nisu i podmirene u 201</w:t>
      </w:r>
      <w:r w:rsidR="00B243B0">
        <w:rPr>
          <w:sz w:val="24"/>
          <w:szCs w:val="24"/>
        </w:rPr>
        <w:t>7</w:t>
      </w:r>
      <w:r w:rsidRPr="00B11373">
        <w:rPr>
          <w:sz w:val="24"/>
          <w:szCs w:val="24"/>
        </w:rPr>
        <w:t>. godini jer su sredstva školi</w:t>
      </w:r>
      <w:r w:rsidR="0048706D" w:rsidRPr="00B11373">
        <w:rPr>
          <w:sz w:val="24"/>
          <w:szCs w:val="24"/>
        </w:rPr>
        <w:t xml:space="preserve"> za iste obveze doznačena u 201</w:t>
      </w:r>
      <w:r w:rsidR="00B243B0">
        <w:rPr>
          <w:sz w:val="24"/>
          <w:szCs w:val="24"/>
        </w:rPr>
        <w:t>8</w:t>
      </w:r>
      <w:r w:rsidR="0048706D" w:rsidRPr="00B11373">
        <w:rPr>
          <w:sz w:val="24"/>
          <w:szCs w:val="24"/>
        </w:rPr>
        <w:t xml:space="preserve">. godini. Unatoč </w:t>
      </w:r>
      <w:r w:rsidRPr="00B11373">
        <w:rPr>
          <w:sz w:val="24"/>
          <w:szCs w:val="24"/>
        </w:rPr>
        <w:t xml:space="preserve"> ovog modificiranog načela nastanka događaja šk</w:t>
      </w:r>
      <w:r w:rsidR="0048706D" w:rsidRPr="00B11373">
        <w:rPr>
          <w:sz w:val="24"/>
          <w:szCs w:val="24"/>
        </w:rPr>
        <w:t>ola je završila godinu s viškom</w:t>
      </w:r>
      <w:r w:rsidR="00B243B0">
        <w:rPr>
          <w:sz w:val="24"/>
          <w:szCs w:val="24"/>
        </w:rPr>
        <w:t>.</w:t>
      </w:r>
    </w:p>
    <w:p w:rsidR="00B243B0" w:rsidRDefault="00B243B0" w:rsidP="00B113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Iz viška prihoda od participacije učenika, a sukladno Odluci o raspodjeli rezultata za 2016. godinu škola je kupila klavir.</w:t>
      </w:r>
    </w:p>
    <w:p w:rsidR="0025530A" w:rsidRPr="00B11373" w:rsidRDefault="0090640C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lastRenderedPageBreak/>
        <w:t xml:space="preserve">Doznakom sredstava za iskazane rashode </w:t>
      </w:r>
      <w:r w:rsidR="0048706D" w:rsidRPr="00B11373">
        <w:rPr>
          <w:sz w:val="24"/>
          <w:szCs w:val="24"/>
        </w:rPr>
        <w:t>i obveze koji su iskazani u 201</w:t>
      </w:r>
      <w:r w:rsidR="00B243B0">
        <w:rPr>
          <w:sz w:val="24"/>
          <w:szCs w:val="24"/>
        </w:rPr>
        <w:t>7</w:t>
      </w:r>
      <w:r w:rsidRPr="00B11373">
        <w:rPr>
          <w:sz w:val="24"/>
          <w:szCs w:val="24"/>
        </w:rPr>
        <w:t>. godini,</w:t>
      </w:r>
      <w:r w:rsidR="0048706D" w:rsidRPr="00B11373">
        <w:rPr>
          <w:sz w:val="24"/>
          <w:szCs w:val="24"/>
        </w:rPr>
        <w:t xml:space="preserve"> a koji su školi dostupni u 201</w:t>
      </w:r>
      <w:r w:rsidR="00B243B0">
        <w:rPr>
          <w:sz w:val="24"/>
          <w:szCs w:val="24"/>
        </w:rPr>
        <w:t>8</w:t>
      </w:r>
      <w:r w:rsidRPr="00B11373">
        <w:rPr>
          <w:sz w:val="24"/>
          <w:szCs w:val="24"/>
        </w:rPr>
        <w:t>. godini, iskazani manjak po godišnjem izvještaju će biti sveden na 0 i bit će vidljivo da je š</w:t>
      </w:r>
      <w:r w:rsidR="0048706D" w:rsidRPr="00B11373">
        <w:rPr>
          <w:sz w:val="24"/>
          <w:szCs w:val="24"/>
        </w:rPr>
        <w:t>kola 201</w:t>
      </w:r>
      <w:r w:rsidR="00E33D69">
        <w:rPr>
          <w:sz w:val="24"/>
          <w:szCs w:val="24"/>
        </w:rPr>
        <w:t>7</w:t>
      </w:r>
      <w:r w:rsidRPr="00B11373">
        <w:rPr>
          <w:sz w:val="24"/>
          <w:szCs w:val="24"/>
        </w:rPr>
        <w:t>. godinu završila s viškom (</w:t>
      </w:r>
      <w:r w:rsidR="00165AA5" w:rsidRPr="00B11373">
        <w:rPr>
          <w:sz w:val="24"/>
          <w:szCs w:val="24"/>
        </w:rPr>
        <w:t>Participacije učenika</w:t>
      </w:r>
      <w:r w:rsidR="00BE392A" w:rsidRPr="00B11373">
        <w:rPr>
          <w:sz w:val="24"/>
          <w:szCs w:val="24"/>
        </w:rPr>
        <w:t>)</w:t>
      </w:r>
      <w:r w:rsidR="001342B1" w:rsidRPr="00B11373">
        <w:rPr>
          <w:sz w:val="24"/>
          <w:szCs w:val="24"/>
        </w:rPr>
        <w:t>.</w:t>
      </w:r>
    </w:p>
    <w:p w:rsidR="001342B1" w:rsidRPr="001342B1" w:rsidRDefault="001342B1" w:rsidP="001342B1">
      <w:pPr>
        <w:spacing w:after="120"/>
      </w:pPr>
    </w:p>
    <w:p w:rsidR="00A36221" w:rsidRPr="00B11373" w:rsidRDefault="00273361" w:rsidP="0025530A">
      <w:pPr>
        <w:spacing w:after="120"/>
        <w:jc w:val="center"/>
        <w:rPr>
          <w:b/>
          <w:caps/>
          <w:sz w:val="24"/>
          <w:szCs w:val="24"/>
        </w:rPr>
      </w:pPr>
      <w:r w:rsidRPr="00B11373">
        <w:rPr>
          <w:b/>
          <w:caps/>
          <w:sz w:val="24"/>
          <w:szCs w:val="24"/>
        </w:rPr>
        <w:t>Bilješke uz izvještaj o prihodima i rashodima, primicima i izdacima</w:t>
      </w:r>
    </w:p>
    <w:p w:rsidR="00A36221" w:rsidRPr="00B11373" w:rsidRDefault="00273361" w:rsidP="00B11373">
      <w:pPr>
        <w:spacing w:after="120"/>
        <w:ind w:left="2832" w:firstLine="708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>Obrazac PR-RAS</w:t>
      </w:r>
    </w:p>
    <w:p w:rsidR="001F7DF1" w:rsidRDefault="001F7DF1" w:rsidP="00051447">
      <w:pPr>
        <w:spacing w:after="120"/>
        <w:ind w:left="3540" w:firstLine="708"/>
      </w:pPr>
    </w:p>
    <w:p w:rsidR="00E57D4F" w:rsidRPr="00B11373" w:rsidRDefault="00913B64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 xml:space="preserve">Bilješka uz AOP </w:t>
      </w:r>
      <w:r w:rsidR="00042AE4" w:rsidRPr="00B11373">
        <w:rPr>
          <w:b/>
          <w:sz w:val="24"/>
          <w:szCs w:val="24"/>
        </w:rPr>
        <w:t>40</w:t>
      </w:r>
      <w:r w:rsidR="00846DDC">
        <w:rPr>
          <w:b/>
          <w:sz w:val="24"/>
          <w:szCs w:val="24"/>
        </w:rPr>
        <w:t>4</w:t>
      </w:r>
      <w:r w:rsidR="001F7DF1" w:rsidRPr="00B11373">
        <w:rPr>
          <w:b/>
          <w:sz w:val="24"/>
          <w:szCs w:val="24"/>
        </w:rPr>
        <w:t>- Rashodi poslovanja</w:t>
      </w:r>
      <w:r w:rsidR="009D3448" w:rsidRPr="00B11373">
        <w:rPr>
          <w:sz w:val="24"/>
          <w:szCs w:val="24"/>
        </w:rPr>
        <w:tab/>
      </w:r>
    </w:p>
    <w:tbl>
      <w:tblPr>
        <w:tblStyle w:val="Srednjipopis2-Isticanje1"/>
        <w:tblW w:w="4942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1513"/>
        <w:gridCol w:w="2554"/>
        <w:gridCol w:w="1557"/>
        <w:gridCol w:w="1131"/>
        <w:gridCol w:w="1555"/>
        <w:gridCol w:w="870"/>
      </w:tblGrid>
      <w:tr w:rsidR="00D840DF" w:rsidRPr="0025530A" w:rsidTr="0025530A">
        <w:trPr>
          <w:cnfStyle w:val="100000000000"/>
        </w:trPr>
        <w:tc>
          <w:tcPr>
            <w:cnfStyle w:val="00100000010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Razred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E57D4F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Rashodi i izdaci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913B64" w:rsidP="00EF66B7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201</w:t>
            </w:r>
            <w:r w:rsidR="00EF66B7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6</w:t>
            </w:r>
            <w:r w:rsidR="00E57D4F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E57D4F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Index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913B64" w:rsidP="00EF66B7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201</w:t>
            </w:r>
            <w:r w:rsidR="00EF66B7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  <w:r w:rsidR="00E57D4F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godina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E57D4F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Index</w:t>
            </w:r>
          </w:p>
        </w:tc>
      </w:tr>
      <w:tr w:rsidR="00D840DF" w:rsidRPr="0025530A" w:rsidTr="0025530A">
        <w:trPr>
          <w:cnfStyle w:val="000000100000"/>
        </w:trPr>
        <w:tc>
          <w:tcPr>
            <w:cnfStyle w:val="00100000000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E57D4F" w:rsidP="00B11373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 poslovanja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165AA5" w:rsidP="00EF66B7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588.771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307901" w:rsidP="00EF66B7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96,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EF66B7" w:rsidP="00307901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3.748.712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57D4F" w:rsidRPr="0025530A" w:rsidRDefault="00307901" w:rsidP="00EF66B7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7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,2</w:t>
            </w:r>
          </w:p>
        </w:tc>
      </w:tr>
      <w:tr w:rsidR="00E57D4F" w:rsidRPr="0025530A" w:rsidTr="0025530A">
        <w:trPr>
          <w:trHeight w:val="298"/>
        </w:trPr>
        <w:tc>
          <w:tcPr>
            <w:cnfStyle w:val="001000000000"/>
            <w:tcW w:w="8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1391" w:type="pct"/>
            <w:vAlign w:val="center"/>
          </w:tcPr>
          <w:p w:rsidR="00E57D4F" w:rsidRPr="0025530A" w:rsidRDefault="00E57D4F" w:rsidP="00B11373">
            <w:pPr>
              <w:spacing w:after="120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 za nabavu nefinancijske imovine</w:t>
            </w:r>
          </w:p>
        </w:tc>
        <w:tc>
          <w:tcPr>
            <w:tcW w:w="848" w:type="pct"/>
            <w:vAlign w:val="center"/>
          </w:tcPr>
          <w:p w:rsidR="00E57D4F" w:rsidRPr="0025530A" w:rsidRDefault="004033D7" w:rsidP="00EF66B7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41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.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061</w:t>
            </w:r>
          </w:p>
        </w:tc>
        <w:tc>
          <w:tcPr>
            <w:tcW w:w="616" w:type="pct"/>
            <w:vAlign w:val="center"/>
          </w:tcPr>
          <w:p w:rsidR="00E57D4F" w:rsidRPr="0025530A" w:rsidRDefault="00307901" w:rsidP="00EF66B7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3,</w:t>
            </w:r>
            <w:r w:rsidR="00EF66B7"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847" w:type="pct"/>
            <w:vAlign w:val="center"/>
          </w:tcPr>
          <w:p w:rsidR="00E57D4F" w:rsidRPr="0025530A" w:rsidRDefault="00EF66B7" w:rsidP="00307901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107.572</w:t>
            </w:r>
          </w:p>
        </w:tc>
        <w:tc>
          <w:tcPr>
            <w:tcW w:w="474" w:type="pct"/>
            <w:vAlign w:val="center"/>
          </w:tcPr>
          <w:p w:rsidR="00E57D4F" w:rsidRPr="0025530A" w:rsidRDefault="00EF66B7" w:rsidP="00307901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 w:rsidR="00307901">
              <w:rPr>
                <w:rFonts w:asciiTheme="minorHAnsi" w:eastAsiaTheme="minorEastAsia" w:hAnsiTheme="minorHAnsi" w:cstheme="minorBidi"/>
                <w:color w:val="auto"/>
              </w:rPr>
              <w:t>,8</w:t>
            </w:r>
          </w:p>
        </w:tc>
      </w:tr>
      <w:tr w:rsidR="00D840DF" w:rsidRPr="0025530A" w:rsidTr="0025530A">
        <w:trPr>
          <w:cnfStyle w:val="000000100000"/>
        </w:trPr>
        <w:tc>
          <w:tcPr>
            <w:cnfStyle w:val="00100000000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D840DF" w:rsidP="00B11373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Izdaci za financijsku imovinu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D840DF" w:rsidP="00307901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 w:rsidR="00B11373"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D840DF" w:rsidP="00307901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 w:rsidR="00B11373"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25530A" w:rsidRDefault="00D840DF" w:rsidP="00307901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 w:rsidR="00B11373"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57D4F" w:rsidRPr="0025530A" w:rsidRDefault="00D840DF" w:rsidP="00307901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 w:rsidR="00B11373"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</w:tr>
      <w:tr w:rsidR="00E57D4F" w:rsidRPr="0025530A" w:rsidTr="0025530A">
        <w:tc>
          <w:tcPr>
            <w:cnfStyle w:val="001000000000"/>
            <w:tcW w:w="8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91" w:type="pct"/>
            <w:vAlign w:val="center"/>
          </w:tcPr>
          <w:p w:rsidR="00E57D4F" w:rsidRPr="0025530A" w:rsidRDefault="00D840DF" w:rsidP="00B11373">
            <w:pPr>
              <w:spacing w:after="120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Ukupno</w:t>
            </w:r>
          </w:p>
        </w:tc>
        <w:tc>
          <w:tcPr>
            <w:tcW w:w="848" w:type="pct"/>
            <w:vAlign w:val="center"/>
          </w:tcPr>
          <w:p w:rsidR="00E57D4F" w:rsidRPr="0025530A" w:rsidRDefault="008E34E3" w:rsidP="00EF66B7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</w:t>
            </w:r>
            <w:r w:rsidR="00EF66B7">
              <w:rPr>
                <w:rFonts w:asciiTheme="minorHAnsi" w:eastAsiaTheme="minorEastAsia" w:hAnsiTheme="minorHAnsi"/>
                <w:b/>
              </w:rPr>
              <w:t>729.832</w:t>
            </w:r>
          </w:p>
        </w:tc>
        <w:tc>
          <w:tcPr>
            <w:tcW w:w="616" w:type="pct"/>
            <w:vAlign w:val="center"/>
          </w:tcPr>
          <w:p w:rsidR="00E57D4F" w:rsidRPr="0025530A" w:rsidRDefault="00B11373" w:rsidP="00307901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100</w:t>
            </w:r>
          </w:p>
        </w:tc>
        <w:tc>
          <w:tcPr>
            <w:tcW w:w="847" w:type="pct"/>
            <w:vAlign w:val="center"/>
          </w:tcPr>
          <w:p w:rsidR="00E57D4F" w:rsidRPr="0025530A" w:rsidRDefault="00EF66B7" w:rsidP="00307901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3.856.284</w:t>
            </w:r>
          </w:p>
        </w:tc>
        <w:tc>
          <w:tcPr>
            <w:tcW w:w="474" w:type="pct"/>
            <w:vAlign w:val="center"/>
          </w:tcPr>
          <w:p w:rsidR="00E57D4F" w:rsidRPr="0025530A" w:rsidRDefault="00821467" w:rsidP="00307901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100</w:t>
            </w:r>
          </w:p>
        </w:tc>
      </w:tr>
    </w:tbl>
    <w:p w:rsidR="001342B1" w:rsidRDefault="001B0A12" w:rsidP="00307901">
      <w:pPr>
        <w:spacing w:after="120"/>
        <w:jc w:val="both"/>
        <w:rPr>
          <w:sz w:val="24"/>
          <w:szCs w:val="24"/>
        </w:rPr>
      </w:pPr>
      <w:r w:rsidRPr="00307901">
        <w:rPr>
          <w:sz w:val="24"/>
          <w:szCs w:val="24"/>
        </w:rPr>
        <w:t>U 201</w:t>
      </w:r>
      <w:r w:rsidR="00EF66B7">
        <w:rPr>
          <w:sz w:val="24"/>
          <w:szCs w:val="24"/>
        </w:rPr>
        <w:t>7</w:t>
      </w:r>
      <w:r w:rsidRPr="00307901">
        <w:rPr>
          <w:sz w:val="24"/>
          <w:szCs w:val="24"/>
        </w:rPr>
        <w:t>. u odnosu na 201</w:t>
      </w:r>
      <w:r w:rsidR="00EF66B7">
        <w:rPr>
          <w:sz w:val="24"/>
          <w:szCs w:val="24"/>
        </w:rPr>
        <w:t>6</w:t>
      </w:r>
      <w:r w:rsidRPr="00307901">
        <w:rPr>
          <w:sz w:val="24"/>
          <w:szCs w:val="24"/>
        </w:rPr>
        <w:t xml:space="preserve">. </w:t>
      </w:r>
      <w:r w:rsidR="00307901" w:rsidRPr="00307901">
        <w:rPr>
          <w:sz w:val="24"/>
          <w:szCs w:val="24"/>
        </w:rPr>
        <w:t>g</w:t>
      </w:r>
      <w:r w:rsidRPr="00307901">
        <w:rPr>
          <w:sz w:val="24"/>
          <w:szCs w:val="24"/>
        </w:rPr>
        <w:t xml:space="preserve">odinu  došlo je do </w:t>
      </w:r>
      <w:r w:rsidR="00B93147">
        <w:rPr>
          <w:sz w:val="24"/>
          <w:szCs w:val="24"/>
        </w:rPr>
        <w:t>smanjenja</w:t>
      </w:r>
      <w:r w:rsidR="00DC1AEC" w:rsidRPr="00307901">
        <w:rPr>
          <w:sz w:val="24"/>
          <w:szCs w:val="24"/>
        </w:rPr>
        <w:t xml:space="preserve"> ulagan</w:t>
      </w:r>
      <w:r w:rsidRPr="00307901">
        <w:rPr>
          <w:sz w:val="24"/>
          <w:szCs w:val="24"/>
        </w:rPr>
        <w:t>ja u dugotrajnu imovinu</w:t>
      </w:r>
      <w:r w:rsidR="00307901" w:rsidRPr="00307901">
        <w:rPr>
          <w:sz w:val="24"/>
          <w:szCs w:val="24"/>
        </w:rPr>
        <w:t xml:space="preserve"> za </w:t>
      </w:r>
      <w:r w:rsidR="00B93147">
        <w:rPr>
          <w:sz w:val="24"/>
          <w:szCs w:val="24"/>
        </w:rPr>
        <w:t>23</w:t>
      </w:r>
      <w:r w:rsidR="00307901" w:rsidRPr="00307901">
        <w:rPr>
          <w:sz w:val="24"/>
          <w:szCs w:val="24"/>
        </w:rPr>
        <w:t>,7%.D</w:t>
      </w:r>
      <w:r w:rsidR="00DD016D" w:rsidRPr="00307901">
        <w:rPr>
          <w:sz w:val="24"/>
          <w:szCs w:val="24"/>
        </w:rPr>
        <w:t>ugotrajn</w:t>
      </w:r>
      <w:r w:rsidR="00307901" w:rsidRPr="00307901">
        <w:rPr>
          <w:sz w:val="24"/>
          <w:szCs w:val="24"/>
        </w:rPr>
        <w:t>a</w:t>
      </w:r>
      <w:r w:rsidR="00DD016D" w:rsidRPr="00307901">
        <w:rPr>
          <w:sz w:val="24"/>
          <w:szCs w:val="24"/>
        </w:rPr>
        <w:t xml:space="preserve"> imovin</w:t>
      </w:r>
      <w:r w:rsidR="00307901" w:rsidRPr="00307901">
        <w:rPr>
          <w:sz w:val="24"/>
          <w:szCs w:val="24"/>
        </w:rPr>
        <w:t>au iznosu od 1</w:t>
      </w:r>
      <w:r w:rsidR="00B93147">
        <w:rPr>
          <w:sz w:val="24"/>
          <w:szCs w:val="24"/>
        </w:rPr>
        <w:t>07</w:t>
      </w:r>
      <w:r w:rsidR="00307901" w:rsidRPr="00307901">
        <w:rPr>
          <w:sz w:val="24"/>
          <w:szCs w:val="24"/>
        </w:rPr>
        <w:t>.</w:t>
      </w:r>
      <w:r w:rsidR="00B93147">
        <w:rPr>
          <w:sz w:val="24"/>
          <w:szCs w:val="24"/>
        </w:rPr>
        <w:t>572</w:t>
      </w:r>
      <w:r w:rsidR="00307901" w:rsidRPr="00307901">
        <w:rPr>
          <w:sz w:val="24"/>
          <w:szCs w:val="24"/>
        </w:rPr>
        <w:t xml:space="preserve"> kn nabavljena je iz sredstava participacije učenika.</w:t>
      </w:r>
    </w:p>
    <w:p w:rsidR="00035058" w:rsidRPr="00307901" w:rsidRDefault="00E83922" w:rsidP="00051447">
      <w:pPr>
        <w:spacing w:after="120"/>
        <w:rPr>
          <w:b/>
          <w:sz w:val="24"/>
          <w:szCs w:val="24"/>
        </w:rPr>
      </w:pPr>
      <w:r w:rsidRPr="00307901">
        <w:rPr>
          <w:b/>
          <w:sz w:val="24"/>
          <w:szCs w:val="24"/>
        </w:rPr>
        <w:t>Bilješke uz AOP 63</w:t>
      </w:r>
      <w:r w:rsidR="00864E88">
        <w:rPr>
          <w:b/>
          <w:sz w:val="24"/>
          <w:szCs w:val="24"/>
        </w:rPr>
        <w:t>5</w:t>
      </w:r>
      <w:r w:rsidRPr="00307901">
        <w:rPr>
          <w:b/>
          <w:sz w:val="24"/>
          <w:szCs w:val="24"/>
        </w:rPr>
        <w:t xml:space="preserve"> – </w:t>
      </w:r>
      <w:r w:rsidR="00864E88">
        <w:rPr>
          <w:b/>
          <w:sz w:val="24"/>
          <w:szCs w:val="24"/>
        </w:rPr>
        <w:t>Višak/</w:t>
      </w:r>
      <w:r w:rsidRPr="00307901">
        <w:rPr>
          <w:b/>
          <w:sz w:val="24"/>
          <w:szCs w:val="24"/>
        </w:rPr>
        <w:t>Manjak prihoda i primitaka</w:t>
      </w:r>
    </w:p>
    <w:tbl>
      <w:tblPr>
        <w:tblStyle w:val="Srednjipopis2-Isticanje1"/>
        <w:tblW w:w="5170" w:type="pct"/>
        <w:tblInd w:w="-70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3532"/>
        <w:gridCol w:w="1168"/>
        <w:gridCol w:w="1149"/>
        <w:gridCol w:w="1187"/>
        <w:gridCol w:w="1302"/>
        <w:gridCol w:w="1266"/>
      </w:tblGrid>
      <w:tr w:rsidR="00C86313" w:rsidRPr="0025530A" w:rsidTr="00DE0BDF">
        <w:trPr>
          <w:cnfStyle w:val="100000000000"/>
        </w:trPr>
        <w:tc>
          <w:tcPr>
            <w:cnfStyle w:val="0010000001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13" w:rsidRPr="0025530A" w:rsidRDefault="00C86313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Opis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3" w:rsidRPr="0025530A" w:rsidRDefault="00C86313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2013</w:t>
            </w: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3" w:rsidRPr="0025530A" w:rsidRDefault="00C86313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2014</w:t>
            </w: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3" w:rsidRPr="0025530A" w:rsidRDefault="00C86313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2015</w:t>
            </w: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3" w:rsidRPr="0025530A" w:rsidRDefault="00C86313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2016</w:t>
            </w: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13" w:rsidRDefault="00C86313" w:rsidP="00C86313">
            <w:pPr>
              <w:spacing w:after="120"/>
              <w:jc w:val="center"/>
              <w:cnfStyle w:val="100000000000"/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2017</w:t>
            </w:r>
            <w:r w:rsidRPr="0025530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. godina</w:t>
            </w:r>
          </w:p>
        </w:tc>
      </w:tr>
      <w:tr w:rsidR="00DE0BDF" w:rsidRPr="0025530A" w:rsidTr="00DE0BDF">
        <w:trPr>
          <w:cnfStyle w:val="000000100000"/>
          <w:trHeight w:val="298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Prihodi poslovanja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2.946.839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3.216.802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3.564.832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3.696.993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3.897.520</w:t>
            </w:r>
          </w:p>
        </w:tc>
      </w:tr>
      <w:tr w:rsidR="00DE0BDF" w:rsidRPr="0025530A" w:rsidTr="00DE0BDF">
        <w:trPr>
          <w:trHeight w:val="335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Prihodi od prodaje nefinancijske imovine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</w:tr>
      <w:tr w:rsidR="00DE0BDF" w:rsidRPr="0025530A" w:rsidTr="00DE0BDF">
        <w:trPr>
          <w:cnfStyle w:val="000000100000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Primiciodnefinancijske</w:t>
            </w:r>
            <w:r w:rsidRPr="0025530A">
              <w:rPr>
                <w:rFonts w:asciiTheme="minorHAnsi" w:eastAsiaTheme="minorEastAsia" w:hAnsiTheme="minorHAnsi"/>
              </w:rPr>
              <w:t xml:space="preserve"> imovine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</w:tr>
      <w:tr w:rsidR="00DE0BDF" w:rsidRPr="0025530A" w:rsidTr="00DE0BDF"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</w:rPr>
              <w:t>Ukupniprihodi</w:t>
            </w:r>
            <w:r w:rsidRPr="0025530A">
              <w:rPr>
                <w:rFonts w:asciiTheme="minorHAnsi" w:eastAsiaTheme="minorEastAsia" w:hAnsiTheme="minorHAnsi"/>
                <w:b/>
              </w:rPr>
              <w:t xml:space="preserve"> i primici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2.946.839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3.216.802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3.564.832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3.696.993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3.897.520</w:t>
            </w:r>
          </w:p>
        </w:tc>
      </w:tr>
      <w:tr w:rsidR="00DE0BDF" w:rsidRPr="0025530A" w:rsidTr="00DE0BDF">
        <w:trPr>
          <w:cnfStyle w:val="000000100000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</w:t>
            </w:r>
            <w:r w:rsidRPr="0025530A">
              <w:rPr>
                <w:rFonts w:asciiTheme="minorHAnsi" w:eastAsiaTheme="minorEastAsia" w:hAnsiTheme="minorHAnsi"/>
              </w:rPr>
              <w:t xml:space="preserve"> poslovanja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80596C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2.897.001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3.095.959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3.431.510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3.588.771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3.748.712</w:t>
            </w:r>
          </w:p>
        </w:tc>
      </w:tr>
      <w:tr w:rsidR="00DE0BDF" w:rsidRPr="0025530A" w:rsidTr="00DE0BDF"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</w:t>
            </w:r>
            <w:r w:rsidRPr="0025530A">
              <w:rPr>
                <w:rFonts w:asciiTheme="minorHAnsi" w:eastAsiaTheme="minorEastAsia" w:hAnsiTheme="minorHAnsi"/>
              </w:rPr>
              <w:t xml:space="preserve"> za nabavu nefinancijske imovine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0C2DDB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98.897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104.210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119.799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141.061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107.572</w:t>
            </w:r>
          </w:p>
        </w:tc>
      </w:tr>
      <w:tr w:rsidR="00DE0BDF" w:rsidRPr="0025530A" w:rsidTr="00DE0BDF">
        <w:trPr>
          <w:cnfStyle w:val="000000100000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Izdaci od financijske imovine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-</w:t>
            </w:r>
          </w:p>
        </w:tc>
      </w:tr>
      <w:tr w:rsidR="00DE0BDF" w:rsidRPr="0025530A" w:rsidTr="00DE0BDF"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Ukupni rashodi i izdaci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2.995.898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3.200.169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3.551.309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3.729.832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3.856.284</w:t>
            </w:r>
          </w:p>
        </w:tc>
      </w:tr>
      <w:tr w:rsidR="00DE0BDF" w:rsidRPr="0025530A" w:rsidTr="00DE0BDF">
        <w:trPr>
          <w:cnfStyle w:val="000000100000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Višak/Manjak prihoda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-49.059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16.633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13.523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-32.839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41.236</w:t>
            </w:r>
          </w:p>
        </w:tc>
      </w:tr>
      <w:tr w:rsidR="00DE0BDF" w:rsidRPr="0025530A" w:rsidTr="008251EF"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DF" w:rsidRPr="0025530A" w:rsidRDefault="00DE0BDF" w:rsidP="00DE0BD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Višak/manjak prethodne godine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69.861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20.802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37.435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50.958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DF" w:rsidRPr="0025530A" w:rsidRDefault="00DE0BDF" w:rsidP="00DE0BDF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18.119</w:t>
            </w:r>
          </w:p>
        </w:tc>
      </w:tr>
      <w:tr w:rsidR="008251EF" w:rsidRPr="0025530A" w:rsidTr="004E6E39">
        <w:trPr>
          <w:cnfStyle w:val="000000100000"/>
        </w:trPr>
        <w:tc>
          <w:tcPr>
            <w:cnfStyle w:val="001000000000"/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EF" w:rsidRPr="0025530A" w:rsidRDefault="008251EF" w:rsidP="008251EF">
            <w:pPr>
              <w:spacing w:after="120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Višak/manjak raspoloživ u sljedećem razdoblju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F" w:rsidRPr="0025530A" w:rsidRDefault="008251EF" w:rsidP="008251E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20.802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F" w:rsidRPr="0025530A" w:rsidRDefault="008251EF" w:rsidP="008251E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37.435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F" w:rsidRPr="0025530A" w:rsidRDefault="008251EF" w:rsidP="008251E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50.958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F" w:rsidRPr="0025530A" w:rsidRDefault="008251EF" w:rsidP="008251E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18.119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F" w:rsidRPr="0025530A" w:rsidRDefault="008251EF" w:rsidP="008251EF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59.355</w:t>
            </w:r>
          </w:p>
        </w:tc>
      </w:tr>
    </w:tbl>
    <w:p w:rsidR="003D02DE" w:rsidRDefault="003D02DE" w:rsidP="00051447">
      <w:pPr>
        <w:spacing w:after="120"/>
      </w:pPr>
    </w:p>
    <w:p w:rsidR="008051E4" w:rsidRDefault="003D4F9C" w:rsidP="003D4F9C">
      <w:pPr>
        <w:spacing w:after="120"/>
        <w:jc w:val="both"/>
        <w:rPr>
          <w:sz w:val="24"/>
          <w:szCs w:val="24"/>
        </w:rPr>
      </w:pPr>
      <w:r w:rsidRPr="003D4F9C">
        <w:rPr>
          <w:sz w:val="24"/>
          <w:szCs w:val="24"/>
        </w:rPr>
        <w:lastRenderedPageBreak/>
        <w:t>Školski odbor na 35. sjednici od 25.5.2016. godine donio je odluku da se višak prihoda od participacije učenika iz prethodnih godina u iznosu od 91.234 kn utroši na kupnju glazbenih instrumenata. Nabavljen je klavir u iznosu 78.707 kn i 3 flaute u iznosu 12.527 kn.</w:t>
      </w:r>
    </w:p>
    <w:p w:rsidR="008251EF" w:rsidRPr="003D4F9C" w:rsidRDefault="008251EF" w:rsidP="003D4F9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Školski odbor na 1. sjednici od 5.4.2017. godine donio je odluku da se višak prihoda </w:t>
      </w:r>
      <w:r w:rsidR="0040294B">
        <w:rPr>
          <w:sz w:val="24"/>
          <w:szCs w:val="24"/>
        </w:rPr>
        <w:t>od participacije učenika</w:t>
      </w:r>
      <w:r>
        <w:rPr>
          <w:sz w:val="24"/>
          <w:szCs w:val="24"/>
        </w:rPr>
        <w:t xml:space="preserve">raspoloživ za </w:t>
      </w:r>
      <w:r w:rsidR="0040294B">
        <w:rPr>
          <w:sz w:val="24"/>
          <w:szCs w:val="24"/>
        </w:rPr>
        <w:t>2017. godinu u iznosu od 61.892 kn utroši na kupnju glazbenih instrumenata. Kupljen je klavir u iznosu od 77.325 kn.</w:t>
      </w:r>
    </w:p>
    <w:p w:rsidR="002347AA" w:rsidRPr="002347AA" w:rsidRDefault="002347AA" w:rsidP="00051447">
      <w:pPr>
        <w:spacing w:after="120"/>
        <w:rPr>
          <w:caps/>
          <w:sz w:val="24"/>
          <w:szCs w:val="24"/>
        </w:rPr>
      </w:pPr>
    </w:p>
    <w:p w:rsidR="008051E4" w:rsidRPr="002347AA" w:rsidRDefault="008051E4" w:rsidP="0025530A">
      <w:pPr>
        <w:spacing w:after="120"/>
        <w:rPr>
          <w:b/>
          <w:caps/>
          <w:sz w:val="24"/>
          <w:szCs w:val="24"/>
        </w:rPr>
      </w:pPr>
      <w:r w:rsidRPr="002347AA">
        <w:rPr>
          <w:b/>
          <w:caps/>
          <w:sz w:val="24"/>
          <w:szCs w:val="24"/>
        </w:rPr>
        <w:t>Bilješke uz izvještaj o obvezama – Obrazac Obveze</w:t>
      </w:r>
    </w:p>
    <w:p w:rsidR="003D4AEC" w:rsidRDefault="003D4AEC" w:rsidP="00051447">
      <w:pPr>
        <w:spacing w:after="120"/>
        <w:jc w:val="center"/>
        <w:rPr>
          <w:b/>
        </w:rPr>
      </w:pPr>
    </w:p>
    <w:p w:rsidR="003D4AEC" w:rsidRPr="002347AA" w:rsidRDefault="003D4AEC" w:rsidP="00051447">
      <w:pPr>
        <w:spacing w:after="120"/>
        <w:rPr>
          <w:b/>
          <w:sz w:val="24"/>
          <w:szCs w:val="24"/>
        </w:rPr>
      </w:pPr>
      <w:r w:rsidRPr="002347AA">
        <w:rPr>
          <w:b/>
          <w:sz w:val="24"/>
          <w:szCs w:val="24"/>
        </w:rPr>
        <w:t>Stanje</w:t>
      </w:r>
      <w:r w:rsidR="002E2284">
        <w:rPr>
          <w:b/>
          <w:sz w:val="24"/>
          <w:szCs w:val="24"/>
        </w:rPr>
        <w:t xml:space="preserve"> nedospjelih</w:t>
      </w:r>
      <w:r w:rsidRPr="002347AA">
        <w:rPr>
          <w:b/>
          <w:sz w:val="24"/>
          <w:szCs w:val="24"/>
        </w:rPr>
        <w:t xml:space="preserve"> obveza na kraju izvještajnog razdoblja (AOP 0</w:t>
      </w:r>
      <w:r w:rsidR="002E2284">
        <w:rPr>
          <w:b/>
          <w:sz w:val="24"/>
          <w:szCs w:val="24"/>
        </w:rPr>
        <w:t>90</w:t>
      </w:r>
      <w:r w:rsidRPr="002347AA">
        <w:rPr>
          <w:b/>
          <w:sz w:val="24"/>
          <w:szCs w:val="24"/>
        </w:rPr>
        <w:t>)</w:t>
      </w:r>
    </w:p>
    <w:tbl>
      <w:tblPr>
        <w:tblStyle w:val="Srednjipopis2-Isticanje1"/>
        <w:tblW w:w="486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563"/>
        <w:gridCol w:w="3755"/>
        <w:gridCol w:w="1027"/>
        <w:gridCol w:w="2694"/>
      </w:tblGrid>
      <w:tr w:rsidR="00FB074D" w:rsidRPr="0025530A" w:rsidTr="0025530A">
        <w:trPr>
          <w:cnfStyle w:val="100000000000"/>
          <w:trHeight w:val="1331"/>
        </w:trPr>
        <w:tc>
          <w:tcPr>
            <w:cnfStyle w:val="001000000100"/>
            <w:tcW w:w="8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</w:t>
            </w:r>
          </w:p>
          <w:p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681C3D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Stanje obveza na kraju izvještajnog razdoblja </w:t>
            </w:r>
          </w:p>
        </w:tc>
        <w:tc>
          <w:tcPr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AOP</w:t>
            </w:r>
          </w:p>
          <w:p w:rsidR="00FB074D" w:rsidRPr="0025530A" w:rsidRDefault="00FB074D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14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25530A" w:rsidRDefault="00BA5271" w:rsidP="0025530A">
            <w:pPr>
              <w:spacing w:after="120"/>
              <w:jc w:val="center"/>
              <w:cnfStyle w:val="10000000000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31. prosinca 2016</w:t>
            </w:r>
            <w:r w:rsidR="00FB074D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</w:tr>
      <w:tr w:rsidR="00FB074D" w:rsidRPr="0025530A" w:rsidTr="00A74424">
        <w:trPr>
          <w:cnfStyle w:val="000000100000"/>
          <w:trHeight w:val="457"/>
        </w:trPr>
        <w:tc>
          <w:tcPr>
            <w:cnfStyle w:val="001000000000"/>
            <w:tcW w:w="86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207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6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490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</w:tr>
      <w:tr w:rsidR="00A74424" w:rsidRPr="00E44753" w:rsidTr="00A74424">
        <w:trPr>
          <w:trHeight w:val="457"/>
        </w:trPr>
        <w:tc>
          <w:tcPr>
            <w:cnfStyle w:val="00100000000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424" w:rsidRPr="00E44753" w:rsidRDefault="00A74424" w:rsidP="0025530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4" w:rsidRPr="00E44753" w:rsidRDefault="00A74424" w:rsidP="0025530A">
            <w:pPr>
              <w:spacing w:after="120"/>
              <w:jc w:val="center"/>
              <w:cnfStyle w:val="000000000000"/>
              <w:rPr>
                <w:b/>
              </w:rPr>
            </w:pPr>
            <w:r w:rsidRPr="00E44753">
              <w:rPr>
                <w:b/>
              </w:rPr>
              <w:t>Međusobne obveze proračunskih korisnika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4" w:rsidRPr="00E44753" w:rsidRDefault="002E2284" w:rsidP="00267E72">
            <w:pPr>
              <w:spacing w:after="120"/>
              <w:jc w:val="center"/>
              <w:cnfStyle w:val="000000000000"/>
              <w:rPr>
                <w:b/>
              </w:rPr>
            </w:pPr>
            <w:r w:rsidRPr="00E44753">
              <w:rPr>
                <w:b/>
              </w:rPr>
              <w:t>091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24" w:rsidRPr="00E44753" w:rsidRDefault="002E2284" w:rsidP="002E2284">
            <w:pPr>
              <w:spacing w:after="120"/>
              <w:jc w:val="right"/>
              <w:cnfStyle w:val="000000000000"/>
              <w:rPr>
                <w:b/>
              </w:rPr>
            </w:pPr>
            <w:r w:rsidRPr="00E44753">
              <w:rPr>
                <w:rFonts w:asciiTheme="minorHAnsi" w:eastAsiaTheme="minorEastAsia" w:hAnsiTheme="minorHAnsi"/>
                <w:b/>
              </w:rPr>
              <w:t>4.257</w:t>
            </w:r>
          </w:p>
        </w:tc>
      </w:tr>
      <w:tr w:rsidR="00267E72" w:rsidRPr="00E44753" w:rsidTr="00A74424">
        <w:trPr>
          <w:cnfStyle w:val="000000100000"/>
          <w:trHeight w:val="457"/>
        </w:trPr>
        <w:tc>
          <w:tcPr>
            <w:cnfStyle w:val="00100000000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E72" w:rsidRPr="00E44753" w:rsidRDefault="00267E72" w:rsidP="002E2284">
            <w:pPr>
              <w:spacing w:after="120"/>
              <w:jc w:val="center"/>
              <w:rPr>
                <w:b/>
              </w:rPr>
            </w:pPr>
            <w:r w:rsidRPr="00E44753">
              <w:rPr>
                <w:b/>
              </w:rPr>
              <w:t>23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2" w:rsidRPr="00E44753" w:rsidRDefault="00267E72" w:rsidP="002E2284">
            <w:pPr>
              <w:spacing w:after="120"/>
              <w:cnfStyle w:val="000000100000"/>
              <w:rPr>
                <w:b/>
              </w:rPr>
            </w:pPr>
            <w:r w:rsidRPr="00E44753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Obveze za </w:t>
            </w:r>
            <w:r w:rsidR="002E2284" w:rsidRPr="00E44753">
              <w:rPr>
                <w:rFonts w:asciiTheme="minorHAnsi" w:eastAsiaTheme="minorEastAsia" w:hAnsiTheme="minorHAnsi" w:cstheme="minorBidi"/>
                <w:b/>
                <w:color w:val="auto"/>
              </w:rPr>
              <w:t>rashode poslovanja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2" w:rsidRPr="00E44753" w:rsidRDefault="002E2284" w:rsidP="00267E72">
            <w:pPr>
              <w:spacing w:after="120"/>
              <w:jc w:val="center"/>
              <w:cnfStyle w:val="000000100000"/>
              <w:rPr>
                <w:b/>
              </w:rPr>
            </w:pPr>
            <w:r w:rsidRPr="00E44753">
              <w:rPr>
                <w:b/>
              </w:rPr>
              <w:t>092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2" w:rsidRPr="00E44753" w:rsidRDefault="002E2284" w:rsidP="00267E72">
            <w:pPr>
              <w:spacing w:after="120"/>
              <w:jc w:val="right"/>
              <w:cnfStyle w:val="000000100000"/>
              <w:rPr>
                <w:b/>
              </w:rPr>
            </w:pPr>
            <w:r w:rsidRPr="00E44753">
              <w:rPr>
                <w:b/>
              </w:rPr>
              <w:t>299.970</w:t>
            </w:r>
          </w:p>
        </w:tc>
      </w:tr>
      <w:tr w:rsidR="00FB074D" w:rsidRPr="0025530A" w:rsidTr="00A74424">
        <w:trPr>
          <w:trHeight w:val="457"/>
        </w:trPr>
        <w:tc>
          <w:tcPr>
            <w:cnfStyle w:val="001000000000"/>
            <w:tcW w:w="865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B074D" w:rsidRPr="0025530A" w:rsidRDefault="00FB074D" w:rsidP="001517D9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23</w:t>
            </w:r>
            <w:r w:rsidR="001517D9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2077" w:type="pct"/>
            <w:tcBorders>
              <w:top w:val="single" w:sz="4" w:space="0" w:color="auto"/>
            </w:tcBorders>
            <w:vAlign w:val="center"/>
          </w:tcPr>
          <w:p w:rsidR="00FB074D" w:rsidRPr="0025530A" w:rsidRDefault="002E2284" w:rsidP="00267E72">
            <w:pPr>
              <w:spacing w:after="120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Obveze za zaposlene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</w:p>
          <w:p w:rsidR="00FB074D" w:rsidRPr="0025530A" w:rsidRDefault="00FB074D" w:rsidP="0025530A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</w:rPr>
            </w:pP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:rsidR="00FB074D" w:rsidRPr="0025530A" w:rsidRDefault="00E44753" w:rsidP="002347AA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251.046</w:t>
            </w:r>
          </w:p>
        </w:tc>
      </w:tr>
      <w:tr w:rsidR="00FB074D" w:rsidRPr="0025530A" w:rsidTr="0025530A">
        <w:trPr>
          <w:cnfStyle w:val="000000100000"/>
          <w:trHeight w:val="457"/>
        </w:trPr>
        <w:tc>
          <w:tcPr>
            <w:cnfStyle w:val="001000000000"/>
            <w:tcW w:w="8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B074D" w:rsidRPr="0025530A" w:rsidRDefault="00FB074D" w:rsidP="001517D9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 w:rsidR="001517D9">
              <w:rPr>
                <w:rFonts w:asciiTheme="minorHAnsi" w:eastAsiaTheme="minorEastAsia" w:hAnsiTheme="minorHAnsi" w:cstheme="minorBidi"/>
                <w:color w:val="auto"/>
              </w:rPr>
              <w:t>32</w:t>
            </w:r>
          </w:p>
        </w:tc>
        <w:tc>
          <w:tcPr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2347AA">
            <w:pPr>
              <w:spacing w:after="120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 w:rsidR="001517D9">
              <w:rPr>
                <w:rFonts w:asciiTheme="minorHAnsi" w:eastAsiaTheme="minorEastAsia" w:hAnsiTheme="minorHAnsi" w:cstheme="minorBidi"/>
                <w:color w:val="auto"/>
              </w:rPr>
              <w:t>materijalne rashode</w:t>
            </w:r>
          </w:p>
        </w:tc>
        <w:tc>
          <w:tcPr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25530A" w:rsidRDefault="00FB074D" w:rsidP="0025530A">
            <w:pPr>
              <w:spacing w:after="120"/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B074D" w:rsidRPr="0025530A" w:rsidRDefault="00E44753" w:rsidP="002347AA">
            <w:pPr>
              <w:spacing w:after="120"/>
              <w:jc w:val="right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48.924</w:t>
            </w:r>
          </w:p>
        </w:tc>
      </w:tr>
      <w:tr w:rsidR="005C7A75" w:rsidRPr="0025530A" w:rsidTr="0025530A">
        <w:trPr>
          <w:trHeight w:val="457"/>
        </w:trPr>
        <w:tc>
          <w:tcPr>
            <w:cnfStyle w:val="001000000000"/>
            <w:tcW w:w="86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C7A75" w:rsidRPr="0025530A" w:rsidRDefault="005C7A75" w:rsidP="0025530A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77" w:type="pct"/>
            <w:vAlign w:val="center"/>
          </w:tcPr>
          <w:p w:rsidR="005C7A75" w:rsidRPr="0025530A" w:rsidRDefault="005C7A75" w:rsidP="00E44753">
            <w:pPr>
              <w:spacing w:after="120"/>
              <w:cnfStyle w:val="00000000000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Ukupno</w:t>
            </w:r>
            <w:r w:rsidR="00E44753">
              <w:rPr>
                <w:rFonts w:asciiTheme="minorHAnsi" w:eastAsiaTheme="minorEastAsia" w:hAnsiTheme="minorHAnsi"/>
                <w:b/>
              </w:rPr>
              <w:t xml:space="preserve"> nedospjele</w:t>
            </w:r>
            <w:r w:rsidR="00BA5271">
              <w:rPr>
                <w:rFonts w:asciiTheme="minorHAnsi" w:eastAsiaTheme="minorEastAsia" w:hAnsiTheme="minorHAnsi"/>
                <w:b/>
              </w:rPr>
              <w:t>obveze na dan 31.12.201</w:t>
            </w:r>
            <w:r w:rsidR="00E44753">
              <w:rPr>
                <w:rFonts w:asciiTheme="minorHAnsi" w:eastAsiaTheme="minorEastAsia" w:hAnsiTheme="minorHAnsi"/>
                <w:b/>
              </w:rPr>
              <w:t>7</w:t>
            </w:r>
            <w:r w:rsidR="00BA5271">
              <w:rPr>
                <w:rFonts w:asciiTheme="minorHAnsi" w:eastAsiaTheme="minorEastAsia" w:hAnsiTheme="minorHAnsi"/>
                <w:b/>
              </w:rPr>
              <w:t>.</w:t>
            </w:r>
          </w:p>
        </w:tc>
        <w:tc>
          <w:tcPr>
            <w:tcW w:w="568" w:type="pct"/>
            <w:vAlign w:val="center"/>
          </w:tcPr>
          <w:p w:rsidR="005C7A75" w:rsidRPr="0025530A" w:rsidRDefault="00864E88" w:rsidP="0025530A">
            <w:pPr>
              <w:spacing w:after="120"/>
              <w:jc w:val="center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090</w:t>
            </w:r>
            <w:bookmarkStart w:id="0" w:name="_GoBack"/>
            <w:bookmarkEnd w:id="0"/>
          </w:p>
        </w:tc>
        <w:tc>
          <w:tcPr>
            <w:tcW w:w="1490" w:type="pct"/>
            <w:vAlign w:val="center"/>
          </w:tcPr>
          <w:p w:rsidR="005C7A75" w:rsidRPr="0025530A" w:rsidRDefault="00E44753" w:rsidP="00E44753">
            <w:pPr>
              <w:spacing w:after="120"/>
              <w:jc w:val="right"/>
              <w:cnfStyle w:val="00000000000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304</w:t>
            </w:r>
            <w:r w:rsidR="001517D9">
              <w:rPr>
                <w:rFonts w:asciiTheme="minorHAnsi" w:eastAsiaTheme="minorEastAsia" w:hAnsiTheme="minorHAnsi"/>
                <w:b/>
              </w:rPr>
              <w:t>.</w:t>
            </w:r>
            <w:r>
              <w:rPr>
                <w:rFonts w:asciiTheme="minorHAnsi" w:eastAsiaTheme="minorEastAsia" w:hAnsiTheme="minorHAnsi"/>
                <w:b/>
              </w:rPr>
              <w:t>227</w:t>
            </w:r>
          </w:p>
        </w:tc>
      </w:tr>
    </w:tbl>
    <w:p w:rsidR="00E44753" w:rsidRDefault="00E44753" w:rsidP="00051447">
      <w:pPr>
        <w:spacing w:after="120"/>
      </w:pPr>
      <w:r>
        <w:t>Stanje nedospjelih međusobnih obveza (239) odnosi se na bolovanje preko 42 dana na teret HZZO.</w:t>
      </w:r>
    </w:p>
    <w:p w:rsidR="001517D9" w:rsidRDefault="001517D9" w:rsidP="00051447">
      <w:pPr>
        <w:spacing w:after="120"/>
      </w:pPr>
      <w:r>
        <w:t xml:space="preserve">Stanje obveza za zaposlene (231) u iznosu od </w:t>
      </w:r>
      <w:r w:rsidR="00E44753">
        <w:t>251.046</w:t>
      </w:r>
      <w:r>
        <w:t xml:space="preserve"> kn odnos</w:t>
      </w:r>
      <w:r w:rsidR="00B66EB4">
        <w:t>e</w:t>
      </w:r>
      <w:r>
        <w:t xml:space="preserve"> se na </w:t>
      </w:r>
      <w:r w:rsidR="00E44753">
        <w:t xml:space="preserve">plaću 12/2017. </w:t>
      </w:r>
      <w:r w:rsidR="004E6747">
        <w:t xml:space="preserve">od </w:t>
      </w:r>
      <w:r w:rsidR="00E44753">
        <w:t>247.336 kn i  pomoć za bolovanje u iznosu od 3.710 kn</w:t>
      </w:r>
      <w:r w:rsidR="00B66EB4">
        <w:t xml:space="preserve"> isplata u siječnju 201</w:t>
      </w:r>
      <w:r w:rsidR="004E6747">
        <w:t>8</w:t>
      </w:r>
      <w:r w:rsidR="00B66EB4">
        <w:t>. godine.</w:t>
      </w:r>
    </w:p>
    <w:p w:rsidR="00C11354" w:rsidRDefault="00DE765D" w:rsidP="00C11354">
      <w:pPr>
        <w:spacing w:after="120"/>
      </w:pPr>
      <w:r>
        <w:t>Stanje obveza</w:t>
      </w:r>
      <w:r w:rsidR="00B66EB4">
        <w:t xml:space="preserve"> za materijalne rashode</w:t>
      </w:r>
      <w:r>
        <w:t xml:space="preserve"> (232)</w:t>
      </w:r>
      <w:r w:rsidR="00B66EB4">
        <w:t xml:space="preserve"> u iznosu od</w:t>
      </w:r>
      <w:r w:rsidR="004E6747">
        <w:t>48</w:t>
      </w:r>
      <w:r w:rsidR="00E4255A">
        <w:t>.</w:t>
      </w:r>
      <w:r w:rsidR="004E6747">
        <w:t>924</w:t>
      </w:r>
      <w:r w:rsidR="003D268A">
        <w:t xml:space="preserve"> kn</w:t>
      </w:r>
      <w:r>
        <w:t xml:space="preserve"> odnosi se materijalne rashode</w:t>
      </w:r>
      <w:r w:rsidR="007E3005">
        <w:t xml:space="preserve"> za 12/201</w:t>
      </w:r>
      <w:r w:rsidR="004E6747">
        <w:t>7</w:t>
      </w:r>
      <w:r w:rsidR="007E3005">
        <w:t>. godine</w:t>
      </w:r>
      <w:r>
        <w:t xml:space="preserve"> s d</w:t>
      </w:r>
      <w:r w:rsidR="00E4255A">
        <w:t>ospijećem do kraja siječnja 201</w:t>
      </w:r>
      <w:r w:rsidR="004E6747">
        <w:t>8</w:t>
      </w:r>
      <w:r>
        <w:t>. godine</w:t>
      </w:r>
      <w:r w:rsidR="00E4255A">
        <w:t>. Od toga</w:t>
      </w:r>
      <w:r w:rsidR="007E3005">
        <w:t>: 12.</w:t>
      </w:r>
      <w:r w:rsidR="004E6747">
        <w:t>352</w:t>
      </w:r>
      <w:r w:rsidR="007E3005">
        <w:t xml:space="preserve"> kn za prijevoz zaposlenika, </w:t>
      </w:r>
      <w:r w:rsidR="004E6747">
        <w:t>10.123</w:t>
      </w:r>
      <w:r w:rsidR="007E3005">
        <w:t xml:space="preserve"> kn za plaću V.S., </w:t>
      </w:r>
      <w:r w:rsidR="004E6747">
        <w:t>975</w:t>
      </w:r>
      <w:r w:rsidR="007E3005">
        <w:t xml:space="preserve"> kn za prijevoz V.S.,</w:t>
      </w:r>
      <w:r w:rsidR="004E6747">
        <w:t>983</w:t>
      </w:r>
      <w:r w:rsidR="00C11354">
        <w:t>kn je naknada za invalide i 24.491 kn za ostale materijalne rashode.</w:t>
      </w:r>
    </w:p>
    <w:p w:rsidR="00FB074D" w:rsidRDefault="00FB074D" w:rsidP="00051447">
      <w:pPr>
        <w:spacing w:after="120"/>
      </w:pPr>
    </w:p>
    <w:p w:rsidR="00561FA1" w:rsidRDefault="001D2802" w:rsidP="00051447">
      <w:pPr>
        <w:spacing w:after="120"/>
      </w:pPr>
      <w:r>
        <w:t xml:space="preserve">Računovođa škole: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1B6ED6">
        <w:t>ica</w:t>
      </w:r>
      <w:r>
        <w:t xml:space="preserve"> škole:</w:t>
      </w:r>
    </w:p>
    <w:p w:rsidR="001D2802" w:rsidRDefault="003D4F9C" w:rsidP="00051447">
      <w:pPr>
        <w:spacing w:after="120"/>
      </w:pPr>
      <w:r>
        <w:t>Marija Gusić</w:t>
      </w:r>
      <w:r w:rsidR="001D2802">
        <w:tab/>
      </w:r>
      <w:r w:rsidR="001D2802">
        <w:tab/>
      </w:r>
      <w:r w:rsidR="001D2802">
        <w:tab/>
      </w:r>
      <w:r w:rsidR="001D2802">
        <w:tab/>
      </w:r>
      <w:r w:rsidR="001D2802">
        <w:tab/>
      </w:r>
      <w:r w:rsidR="001D2802">
        <w:tab/>
      </w:r>
      <w:r w:rsidR="001D2802">
        <w:tab/>
      </w:r>
      <w:r>
        <w:t>Dobrila Veršić</w:t>
      </w:r>
    </w:p>
    <w:sectPr w:rsidR="001D2802" w:rsidSect="00ED6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48" w:rsidRDefault="00BC1148" w:rsidP="009C1741">
      <w:pPr>
        <w:spacing w:after="0" w:line="240" w:lineRule="auto"/>
      </w:pPr>
      <w:r>
        <w:separator/>
      </w:r>
    </w:p>
  </w:endnote>
  <w:endnote w:type="continuationSeparator" w:id="1">
    <w:p w:rsidR="00BC1148" w:rsidRDefault="00BC1148" w:rsidP="009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8" w:rsidRDefault="00B07DF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502081"/>
      <w:docPartObj>
        <w:docPartGallery w:val="Page Numbers (Bottom of Page)"/>
        <w:docPartUnique/>
      </w:docPartObj>
    </w:sdtPr>
    <w:sdtContent>
      <w:p w:rsidR="00B07DF8" w:rsidRDefault="00EB712C">
        <w:pPr>
          <w:pStyle w:val="Podnoje"/>
          <w:jc w:val="right"/>
        </w:pPr>
        <w:r>
          <w:fldChar w:fldCharType="begin"/>
        </w:r>
        <w:r w:rsidR="00B07DF8">
          <w:instrText xml:space="preserve"> PAGE   \* MERGEFORMAT </w:instrText>
        </w:r>
        <w:r>
          <w:fldChar w:fldCharType="separate"/>
        </w:r>
        <w:r w:rsidR="004819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7DF8" w:rsidRDefault="00B07DF8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8" w:rsidRDefault="00B07DF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48" w:rsidRDefault="00BC1148" w:rsidP="009C1741">
      <w:pPr>
        <w:spacing w:after="0" w:line="240" w:lineRule="auto"/>
      </w:pPr>
      <w:r>
        <w:separator/>
      </w:r>
    </w:p>
  </w:footnote>
  <w:footnote w:type="continuationSeparator" w:id="1">
    <w:p w:rsidR="00BC1148" w:rsidRDefault="00BC1148" w:rsidP="009C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8" w:rsidRDefault="00B07DF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8" w:rsidRDefault="00B07DF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8" w:rsidRDefault="00B07DF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48"/>
    <w:rsid w:val="000218F0"/>
    <w:rsid w:val="00022AF2"/>
    <w:rsid w:val="00026A5B"/>
    <w:rsid w:val="00035058"/>
    <w:rsid w:val="00036C35"/>
    <w:rsid w:val="00042AE4"/>
    <w:rsid w:val="000504CC"/>
    <w:rsid w:val="00051447"/>
    <w:rsid w:val="0007203D"/>
    <w:rsid w:val="00082CB6"/>
    <w:rsid w:val="00093705"/>
    <w:rsid w:val="00096A5E"/>
    <w:rsid w:val="000B0DD5"/>
    <w:rsid w:val="000C2DDB"/>
    <w:rsid w:val="000C45BE"/>
    <w:rsid w:val="000C465E"/>
    <w:rsid w:val="000C7085"/>
    <w:rsid w:val="000D1A89"/>
    <w:rsid w:val="000E4AE9"/>
    <w:rsid w:val="000F533F"/>
    <w:rsid w:val="0010070A"/>
    <w:rsid w:val="00117B64"/>
    <w:rsid w:val="001342B1"/>
    <w:rsid w:val="001517D9"/>
    <w:rsid w:val="00165AA5"/>
    <w:rsid w:val="00166A92"/>
    <w:rsid w:val="00176559"/>
    <w:rsid w:val="00183198"/>
    <w:rsid w:val="00191188"/>
    <w:rsid w:val="0019222A"/>
    <w:rsid w:val="00192796"/>
    <w:rsid w:val="001A2527"/>
    <w:rsid w:val="001A531E"/>
    <w:rsid w:val="001B0A12"/>
    <w:rsid w:val="001B1CA3"/>
    <w:rsid w:val="001B6ED6"/>
    <w:rsid w:val="001C0F79"/>
    <w:rsid w:val="001C23D2"/>
    <w:rsid w:val="001D2802"/>
    <w:rsid w:val="001F7DF1"/>
    <w:rsid w:val="001F7EEB"/>
    <w:rsid w:val="00200982"/>
    <w:rsid w:val="00202460"/>
    <w:rsid w:val="00203B43"/>
    <w:rsid w:val="0020474C"/>
    <w:rsid w:val="002347AA"/>
    <w:rsid w:val="00246B66"/>
    <w:rsid w:val="0025530A"/>
    <w:rsid w:val="00257DC8"/>
    <w:rsid w:val="00262F43"/>
    <w:rsid w:val="002678D5"/>
    <w:rsid w:val="00267E72"/>
    <w:rsid w:val="00273361"/>
    <w:rsid w:val="00275C42"/>
    <w:rsid w:val="00276812"/>
    <w:rsid w:val="002944CA"/>
    <w:rsid w:val="002A0860"/>
    <w:rsid w:val="002B0AD6"/>
    <w:rsid w:val="002B6061"/>
    <w:rsid w:val="002D4174"/>
    <w:rsid w:val="002E2284"/>
    <w:rsid w:val="002E3B5B"/>
    <w:rsid w:val="002F6710"/>
    <w:rsid w:val="00302DAD"/>
    <w:rsid w:val="00307901"/>
    <w:rsid w:val="00311AAA"/>
    <w:rsid w:val="00332FC0"/>
    <w:rsid w:val="003341C3"/>
    <w:rsid w:val="003411D6"/>
    <w:rsid w:val="003468C3"/>
    <w:rsid w:val="00375435"/>
    <w:rsid w:val="00383726"/>
    <w:rsid w:val="003B126E"/>
    <w:rsid w:val="003B3EE0"/>
    <w:rsid w:val="003C1896"/>
    <w:rsid w:val="003C6AB8"/>
    <w:rsid w:val="003D02DE"/>
    <w:rsid w:val="003D268A"/>
    <w:rsid w:val="003D4AEC"/>
    <w:rsid w:val="003D4F9C"/>
    <w:rsid w:val="0040294B"/>
    <w:rsid w:val="004033D7"/>
    <w:rsid w:val="004159F5"/>
    <w:rsid w:val="00416024"/>
    <w:rsid w:val="004329AF"/>
    <w:rsid w:val="00436263"/>
    <w:rsid w:val="004571AA"/>
    <w:rsid w:val="00467469"/>
    <w:rsid w:val="00473111"/>
    <w:rsid w:val="00474739"/>
    <w:rsid w:val="004773B8"/>
    <w:rsid w:val="0048194B"/>
    <w:rsid w:val="0048706D"/>
    <w:rsid w:val="004A4C7B"/>
    <w:rsid w:val="004B1AA6"/>
    <w:rsid w:val="004B4D01"/>
    <w:rsid w:val="004C3471"/>
    <w:rsid w:val="004E0588"/>
    <w:rsid w:val="004E6747"/>
    <w:rsid w:val="00504F41"/>
    <w:rsid w:val="00522B4C"/>
    <w:rsid w:val="00525229"/>
    <w:rsid w:val="00542225"/>
    <w:rsid w:val="00555A60"/>
    <w:rsid w:val="00560CE5"/>
    <w:rsid w:val="00561FA1"/>
    <w:rsid w:val="00576F28"/>
    <w:rsid w:val="0058261F"/>
    <w:rsid w:val="00585504"/>
    <w:rsid w:val="005966D2"/>
    <w:rsid w:val="005A3221"/>
    <w:rsid w:val="005C3A92"/>
    <w:rsid w:val="005C7A75"/>
    <w:rsid w:val="005D57D1"/>
    <w:rsid w:val="005D7C5B"/>
    <w:rsid w:val="005E5C54"/>
    <w:rsid w:val="00600C0C"/>
    <w:rsid w:val="00611511"/>
    <w:rsid w:val="00611CBE"/>
    <w:rsid w:val="00646F56"/>
    <w:rsid w:val="00647423"/>
    <w:rsid w:val="00651348"/>
    <w:rsid w:val="0065644C"/>
    <w:rsid w:val="00657628"/>
    <w:rsid w:val="006607A5"/>
    <w:rsid w:val="00665BEB"/>
    <w:rsid w:val="0067262E"/>
    <w:rsid w:val="00676596"/>
    <w:rsid w:val="00677365"/>
    <w:rsid w:val="00681C3D"/>
    <w:rsid w:val="00685FF4"/>
    <w:rsid w:val="006875F2"/>
    <w:rsid w:val="006917E7"/>
    <w:rsid w:val="006A104F"/>
    <w:rsid w:val="006A75D9"/>
    <w:rsid w:val="006A7DC2"/>
    <w:rsid w:val="006B0B55"/>
    <w:rsid w:val="006D02A1"/>
    <w:rsid w:val="00702802"/>
    <w:rsid w:val="007435F7"/>
    <w:rsid w:val="00744378"/>
    <w:rsid w:val="0075665F"/>
    <w:rsid w:val="00792E7C"/>
    <w:rsid w:val="007A3D74"/>
    <w:rsid w:val="007D2D4D"/>
    <w:rsid w:val="007D35EE"/>
    <w:rsid w:val="007E3005"/>
    <w:rsid w:val="007F1128"/>
    <w:rsid w:val="008051E4"/>
    <w:rsid w:val="0080596C"/>
    <w:rsid w:val="00821467"/>
    <w:rsid w:val="00823A0C"/>
    <w:rsid w:val="008251EF"/>
    <w:rsid w:val="00826A9F"/>
    <w:rsid w:val="00846DDC"/>
    <w:rsid w:val="00864E88"/>
    <w:rsid w:val="0088264A"/>
    <w:rsid w:val="008B2EB1"/>
    <w:rsid w:val="008D096C"/>
    <w:rsid w:val="008D543C"/>
    <w:rsid w:val="008E34E3"/>
    <w:rsid w:val="008F3759"/>
    <w:rsid w:val="00900016"/>
    <w:rsid w:val="0090640C"/>
    <w:rsid w:val="00913B64"/>
    <w:rsid w:val="00921D6E"/>
    <w:rsid w:val="00922FEE"/>
    <w:rsid w:val="00925F51"/>
    <w:rsid w:val="00934020"/>
    <w:rsid w:val="0096384A"/>
    <w:rsid w:val="00972A6E"/>
    <w:rsid w:val="0097791A"/>
    <w:rsid w:val="009821B6"/>
    <w:rsid w:val="009A3356"/>
    <w:rsid w:val="009A4EF3"/>
    <w:rsid w:val="009A6AA0"/>
    <w:rsid w:val="009A75F8"/>
    <w:rsid w:val="009C1741"/>
    <w:rsid w:val="009D3448"/>
    <w:rsid w:val="009F723F"/>
    <w:rsid w:val="00A00410"/>
    <w:rsid w:val="00A00C37"/>
    <w:rsid w:val="00A06DFB"/>
    <w:rsid w:val="00A23BC9"/>
    <w:rsid w:val="00A23D9E"/>
    <w:rsid w:val="00A36221"/>
    <w:rsid w:val="00A5198C"/>
    <w:rsid w:val="00A576BB"/>
    <w:rsid w:val="00A60F36"/>
    <w:rsid w:val="00A6426D"/>
    <w:rsid w:val="00A67292"/>
    <w:rsid w:val="00A74424"/>
    <w:rsid w:val="00AA1851"/>
    <w:rsid w:val="00AB3A65"/>
    <w:rsid w:val="00AB45F2"/>
    <w:rsid w:val="00AB4E8C"/>
    <w:rsid w:val="00AC1CAA"/>
    <w:rsid w:val="00AC23C4"/>
    <w:rsid w:val="00AC7808"/>
    <w:rsid w:val="00AD3307"/>
    <w:rsid w:val="00AD4EA5"/>
    <w:rsid w:val="00AD7FE3"/>
    <w:rsid w:val="00AF1A2A"/>
    <w:rsid w:val="00B07DF8"/>
    <w:rsid w:val="00B11373"/>
    <w:rsid w:val="00B243B0"/>
    <w:rsid w:val="00B31875"/>
    <w:rsid w:val="00B34BA6"/>
    <w:rsid w:val="00B40318"/>
    <w:rsid w:val="00B520FB"/>
    <w:rsid w:val="00B66EB4"/>
    <w:rsid w:val="00B93147"/>
    <w:rsid w:val="00BA3CCB"/>
    <w:rsid w:val="00BA5271"/>
    <w:rsid w:val="00BC1148"/>
    <w:rsid w:val="00BC671F"/>
    <w:rsid w:val="00BE392A"/>
    <w:rsid w:val="00C05637"/>
    <w:rsid w:val="00C11354"/>
    <w:rsid w:val="00C20BFF"/>
    <w:rsid w:val="00C253B4"/>
    <w:rsid w:val="00C32AA2"/>
    <w:rsid w:val="00C608FC"/>
    <w:rsid w:val="00C65D46"/>
    <w:rsid w:val="00C67C73"/>
    <w:rsid w:val="00C822C0"/>
    <w:rsid w:val="00C8590C"/>
    <w:rsid w:val="00C86313"/>
    <w:rsid w:val="00C90BDB"/>
    <w:rsid w:val="00CA1462"/>
    <w:rsid w:val="00CB1FC6"/>
    <w:rsid w:val="00CB392E"/>
    <w:rsid w:val="00CC0C65"/>
    <w:rsid w:val="00CC4845"/>
    <w:rsid w:val="00CC5D8E"/>
    <w:rsid w:val="00CC7CC7"/>
    <w:rsid w:val="00CE186E"/>
    <w:rsid w:val="00CF5F3E"/>
    <w:rsid w:val="00D1661A"/>
    <w:rsid w:val="00D21DB8"/>
    <w:rsid w:val="00D220CF"/>
    <w:rsid w:val="00D51FE3"/>
    <w:rsid w:val="00D560D1"/>
    <w:rsid w:val="00D70476"/>
    <w:rsid w:val="00D840DF"/>
    <w:rsid w:val="00DB546F"/>
    <w:rsid w:val="00DC1AEC"/>
    <w:rsid w:val="00DD016D"/>
    <w:rsid w:val="00DE0BDF"/>
    <w:rsid w:val="00DE765D"/>
    <w:rsid w:val="00DF35F8"/>
    <w:rsid w:val="00E159EE"/>
    <w:rsid w:val="00E25EDE"/>
    <w:rsid w:val="00E33D69"/>
    <w:rsid w:val="00E4255A"/>
    <w:rsid w:val="00E44753"/>
    <w:rsid w:val="00E57D4F"/>
    <w:rsid w:val="00E663FB"/>
    <w:rsid w:val="00E83922"/>
    <w:rsid w:val="00E95EA7"/>
    <w:rsid w:val="00EA189B"/>
    <w:rsid w:val="00EB0A57"/>
    <w:rsid w:val="00EB712C"/>
    <w:rsid w:val="00ED616B"/>
    <w:rsid w:val="00EF66B7"/>
    <w:rsid w:val="00F0094B"/>
    <w:rsid w:val="00F250D3"/>
    <w:rsid w:val="00F258AD"/>
    <w:rsid w:val="00F25B95"/>
    <w:rsid w:val="00F27C23"/>
    <w:rsid w:val="00F60B52"/>
    <w:rsid w:val="00F6741E"/>
    <w:rsid w:val="00F702C3"/>
    <w:rsid w:val="00F76DD9"/>
    <w:rsid w:val="00F90C6B"/>
    <w:rsid w:val="00F9595A"/>
    <w:rsid w:val="00FA026B"/>
    <w:rsid w:val="00FA0D2B"/>
    <w:rsid w:val="00FB074D"/>
    <w:rsid w:val="00FB15E1"/>
    <w:rsid w:val="00FB4BDB"/>
    <w:rsid w:val="00FC0D9C"/>
    <w:rsid w:val="00FD0911"/>
    <w:rsid w:val="00FE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2-Isticanje1">
    <w:name w:val="Medium List 2 Accent 1"/>
    <w:basedOn w:val="Obinatablica"/>
    <w:uiPriority w:val="66"/>
    <w:rsid w:val="00522B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1741"/>
  </w:style>
  <w:style w:type="paragraph" w:styleId="Podnoje">
    <w:name w:val="footer"/>
    <w:basedOn w:val="Normal"/>
    <w:link w:val="Podno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741"/>
  </w:style>
  <w:style w:type="paragraph" w:styleId="Tijeloteksta">
    <w:name w:val="Body Text"/>
    <w:basedOn w:val="Normal"/>
    <w:link w:val="TijelotekstaChar"/>
    <w:unhideWhenUsed/>
    <w:rsid w:val="000F5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0F53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424E-EF1B-42B5-87C1-02DFDAF8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Škola</cp:lastModifiedBy>
  <cp:revision>2</cp:revision>
  <cp:lastPrinted>2018-01-31T12:45:00Z</cp:lastPrinted>
  <dcterms:created xsi:type="dcterms:W3CDTF">2018-02-06T15:25:00Z</dcterms:created>
  <dcterms:modified xsi:type="dcterms:W3CDTF">2018-02-06T15:25:00Z</dcterms:modified>
</cp:coreProperties>
</file>