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2D" w:rsidRPr="00DF792D" w:rsidRDefault="00DF792D" w:rsidP="00DF792D">
      <w:pPr>
        <w:ind w:hanging="709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DF792D">
        <w:rPr>
          <w:rFonts w:ascii="Times New Roman" w:eastAsia="Times New Roman" w:hAnsi="Times New Roman" w:cs="Times New Roman"/>
          <w:b/>
          <w:sz w:val="24"/>
          <w:szCs w:val="24"/>
        </w:rPr>
        <w:t>PRILOG 2.a</w:t>
      </w:r>
    </w:p>
    <w:p w:rsidR="00DF792D" w:rsidRPr="00DF792D" w:rsidRDefault="00DF792D" w:rsidP="00DF792D">
      <w:pPr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92D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Obveznik </w:t>
      </w:r>
      <w:r w:rsidR="002F2965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OSNOVNA ŠKOLA BOBOTA,BOBOTA</w:t>
      </w:r>
      <w:r w:rsidRPr="00DF792D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DF792D" w:rsidRPr="00DF792D" w:rsidRDefault="00DF792D" w:rsidP="00DF792D">
      <w:pPr>
        <w:jc w:val="center"/>
        <w:rPr>
          <w:rFonts w:ascii="Calibri" w:eastAsia="Times New Roman" w:hAnsi="Calibri" w:cs="Times New Roman"/>
          <w:b/>
        </w:rPr>
      </w:pPr>
      <w:r w:rsidRPr="00DF792D">
        <w:rPr>
          <w:rFonts w:ascii="Times New Roman" w:eastAsia="Times New Roman" w:hAnsi="Times New Roman" w:cs="Times New Roman"/>
          <w:b/>
          <w:sz w:val="24"/>
          <w:szCs w:val="24"/>
        </w:rPr>
        <w:t xml:space="preserve">UPITNIK O FISKALNOJ ODGOVORNOSTI ZA OBVEZNIKE UTVRĐENE U </w:t>
      </w:r>
      <w:r w:rsidRPr="00DF7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REGISTRU PRORAČUNSKIH I IZVANPRORAČUNSKIH KORISNIKA</w:t>
      </w:r>
      <w:r w:rsidRPr="00DF792D">
        <w:rPr>
          <w:rFonts w:ascii="Times New Roman" w:eastAsia="Times New Roman" w:hAnsi="Times New Roman" w:cs="Times New Roman"/>
          <w:b/>
          <w:sz w:val="24"/>
          <w:szCs w:val="24"/>
        </w:rPr>
        <w:t xml:space="preserve"> ZA PRORAČUNSKU GODINU </w:t>
      </w:r>
      <w:r w:rsidR="00150FF5">
        <w:rPr>
          <w:rFonts w:ascii="Times New Roman" w:eastAsia="Times New Roman" w:hAnsi="Times New Roman" w:cs="Times New Roman"/>
          <w:b/>
          <w:sz w:val="24"/>
          <w:szCs w:val="24"/>
        </w:rPr>
        <w:t>2014.</w:t>
      </w:r>
    </w:p>
    <w:tbl>
      <w:tblPr>
        <w:tblW w:w="14601" w:type="dxa"/>
        <w:tblInd w:w="-743" w:type="dxa"/>
        <w:tblLook w:val="0000"/>
      </w:tblPr>
      <w:tblGrid>
        <w:gridCol w:w="772"/>
        <w:gridCol w:w="5987"/>
        <w:gridCol w:w="830"/>
        <w:gridCol w:w="727"/>
        <w:gridCol w:w="703"/>
        <w:gridCol w:w="5582"/>
      </w:tblGrid>
      <w:tr w:rsidR="00DF792D" w:rsidRPr="00DF792D" w:rsidTr="002F2965">
        <w:trPr>
          <w:trHeight w:val="25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5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Pitanje 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Odgovor</w:t>
            </w:r>
          </w:p>
        </w:tc>
        <w:tc>
          <w:tcPr>
            <w:tcW w:w="5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Referenca</w:t>
            </w: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4"/>
                <w:vertAlign w:val="superscript"/>
              </w:rPr>
              <w:footnoteReference w:id="2"/>
            </w:r>
          </w:p>
        </w:tc>
      </w:tr>
      <w:tr w:rsidR="00DF792D" w:rsidRPr="00DF792D" w:rsidTr="002F2965">
        <w:trPr>
          <w:trHeight w:val="615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584"/>
        </w:trPr>
        <w:tc>
          <w:tcPr>
            <w:tcW w:w="1460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sz w:val="20"/>
                <w:szCs w:val="20"/>
              </w:rPr>
              <w:t>PLANIRANJE PRORAČUNA/FINANCIJSKOG PLANA</w:t>
            </w:r>
          </w:p>
        </w:tc>
      </w:tr>
      <w:tr w:rsidR="00DF792D" w:rsidRPr="00DF792D" w:rsidTr="002F2965">
        <w:trPr>
          <w:trHeight w:val="94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Strateški plan je sastavljen i objavljen na web stranicama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ministarstva i druga tijelo državne uprave na razini razdjela organizacijske klasifikacije)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link na web stranicu</w:t>
            </w:r>
          </w:p>
        </w:tc>
      </w:tr>
      <w:tr w:rsidR="00DF792D" w:rsidRPr="00DF792D" w:rsidTr="002F2965">
        <w:trPr>
          <w:trHeight w:val="84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Programi iz financijskog plana povezani su s ciljevima iz strateškog plana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ministarstva i druga tijela državne uprave na razini razdjela organizacijske klasifikacije)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vezne tablice </w:t>
            </w:r>
          </w:p>
        </w:tc>
      </w:tr>
      <w:tr w:rsidR="00DF792D" w:rsidRPr="00DF792D" w:rsidTr="002F2965">
        <w:trPr>
          <w:trHeight w:val="239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Upravno tijelo nadležno za financije jedinice lokalne i područne (regionalne) samouprave je nakon primitka uputa za izradu proračuna jedinice lokalne i područne (regionalne) samouprave Ministarstva financija izradilo upute za izradu proračuna jedinice lokalne i područne (regionalne) samouprave s limitima i dostavilo ih proračunskim i izvanproračunskim korisnicima jedinice lokalne i područne (regionalne) samouprave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 koje u svojoj nadležnosti imaju proračunske i izvanproračunske korisnike)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 i upute</w:t>
            </w:r>
          </w:p>
        </w:tc>
      </w:tr>
      <w:tr w:rsidR="00DF792D" w:rsidRPr="00DF792D" w:rsidTr="002F2965">
        <w:trPr>
          <w:trHeight w:val="140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Ministarstvo je nakon primitka uputa za izradu prijedloga državnog proračuna od Ministarstva financija izradilo i dostavilo upute s limitima proračunskim korisnicima iz svoje nadležnosti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ministarstva koja u svojoj nadležnosti imaju proračunske korisnike)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 i upute</w:t>
            </w:r>
          </w:p>
        </w:tc>
      </w:tr>
      <w:tr w:rsidR="00DF792D" w:rsidRPr="00DF792D" w:rsidTr="002F2965">
        <w:trPr>
          <w:trHeight w:val="130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Financijski plan proračunskog korisnika državnog proračuna sadrži prihode i primitke iskazane po vrstama, rashode i izdatke predviđene za trogodišnje razdoblje, razvrstane prema proračunskim klasifikacijama i obrazloženje prijedloga financijskog plana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financijskog plana usvojenog do 31. prosinca</w:t>
            </w:r>
          </w:p>
        </w:tc>
      </w:tr>
      <w:tr w:rsidR="00DF792D" w:rsidRPr="00DF792D" w:rsidTr="002F2965">
        <w:trPr>
          <w:trHeight w:val="136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Financijski plan proračunskog korisnika jedinice lokalne i područne (regionalne) samouprave sadrži prihode i primitke iskazane po vrstama, rashode i izdatke predviđene za trogodišnje razdoblje, razvrstane prema proračunskim klasifikacijama te obrazloženje prijedloga financijskog plana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financijskog plana usvojenog do 31. prosinca</w:t>
            </w:r>
          </w:p>
        </w:tc>
      </w:tr>
      <w:tr w:rsidR="00DF792D" w:rsidRPr="00DF792D" w:rsidTr="002F2965">
        <w:trPr>
          <w:trHeight w:val="296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Obrazloženje financijskog plana proračunskog korisnika državnog proračuna i proračunskog korisnika jedinice lokalne i područne (regionalne) samouprave sadrži sažetak djelokruga rada proračunskog korisnika, obrazložene programe, zakonske i druge podloge na kojima se zasnivaju programi, usklađene ciljeve, strategiju i programe s dokumentima dugoročnog razvoja, ishodište i pokazatelje na kojima se zasnivaju izračuni i ocjene potrebnih sredstava za provođenje programa, izvještaj o postignutim ciljevima i rezultatima programa temeljenim na pokazateljima uspješnosti iz nadležnosti proračunskog korisnika u prethodnoj godini te ostala obrazloženja i dokumentaciju.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obrazloženja financijskog plana usvojenog do 31. prosinca</w:t>
            </w:r>
          </w:p>
        </w:tc>
      </w:tr>
      <w:tr w:rsidR="00DF792D" w:rsidRPr="00DF792D" w:rsidTr="002F2965">
        <w:trPr>
          <w:trHeight w:val="16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Financijski plan izvanproračunskog korisnika državnog proračuna i jedinice lokalne i područne (regionalne) samouprave sadrži prihode i primitke iskazane po vrstama, rashode i izdatke predviđene za trogodišnje razdoblje, razvrstane prema proračunskim klasifikacijama i obrazloženje prijedloga financijskog plana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financijskog plana usvojenog do 31. prosinca</w:t>
            </w:r>
          </w:p>
        </w:tc>
      </w:tr>
      <w:tr w:rsidR="00DF792D" w:rsidRPr="00DF792D" w:rsidTr="002F2965">
        <w:trPr>
          <w:trHeight w:val="16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Usklađeni prijedlog financijskog plana ministarstva sastavljen je temeljem prikupljenih i objedinjenih prijedloga financijskih planova proračunskih korisnika 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ministarstva koja u svojoj nadležnosti imaju proračunske korisnike)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provesti analizu na način da se zbroje prihodi i rashodi iz financijskih planova proračunskih korisnika te prihodi i rashodi iz financijskog plana nadležnog ministarstva bez proračunskih korisnika te usporede s podacima u usklađenom financijskom planu </w:t>
            </w:r>
          </w:p>
        </w:tc>
      </w:tr>
      <w:tr w:rsidR="00DF792D" w:rsidRPr="00DF792D" w:rsidTr="002F2965">
        <w:trPr>
          <w:trHeight w:val="7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Uz opći i posebni dio proračuna jedinice lokalne i područne (regionalne) samouprave izrađen je i plan razvojnih programa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plana razvojnih programa</w:t>
            </w: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5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Čelnik jedinice lokalne i područne (regionalne) samouprave uputio je  prijedlog proračuna i projekcija predstavničkom tijelu na donošenje u zakonom predviđenom roku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preslika odnosno referenca dopisa odnosno drugi dokaz da je prijedlog proračuna i projekcija predan predstavničkom tijelu </w:t>
            </w:r>
          </w:p>
        </w:tc>
      </w:tr>
      <w:tr w:rsidR="00DF792D" w:rsidRPr="00DF792D" w:rsidTr="002F2965">
        <w:trPr>
          <w:trHeight w:val="51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Doneseni proračun objavljen je u službenom glasilu jedinice lokalne i područne (regionalne) samouprave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broj i naziv službenog glasila i datum objave </w:t>
            </w:r>
          </w:p>
        </w:tc>
      </w:tr>
      <w:tr w:rsidR="00DF792D" w:rsidRPr="00DF792D" w:rsidTr="002F2965">
        <w:trPr>
          <w:trHeight w:val="127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Uz proračun jedinice lokalne i područne (regionalne) samouprave odnosno financijski plan proračunskog i izvanproračunskog korisnika za iduću proračunsku godinu donijele su se i projekcije za sljedeće dvije proračunske godine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broj i naziv službenog glasila i datum objave za proračune</w:t>
            </w: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financijskog plana usvojenog do 31. prosinca za proračunske i izvanproračunske korisnike</w:t>
            </w:r>
          </w:p>
        </w:tc>
      </w:tr>
      <w:tr w:rsidR="00DF792D" w:rsidRPr="00DF792D" w:rsidTr="002F2965">
        <w:trPr>
          <w:trHeight w:val="734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Proračun te izmjene i dopune i odluka o izvršavanju dostavljeni su Ministarstvu financija u roku od 15 dana od dana njihova stupanja na snagu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</w:t>
            </w:r>
          </w:p>
        </w:tc>
      </w:tr>
      <w:tr w:rsidR="00DF792D" w:rsidRPr="00DF792D" w:rsidTr="002F2965">
        <w:trPr>
          <w:trHeight w:val="127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Jedinica lokalne i područne (regionalne) samouprave se zaduživala/ davala suglasnost za zaduživanje/jamstvo sukladno odredbama Zakona o proračunu i Pravilnika o postupku zaduživanja te davanja jamstava i suglasnosti jedinica lokalne i područne (regionalne) samouprave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dobivenih i danih suglasnosti</w:t>
            </w:r>
          </w:p>
        </w:tc>
      </w:tr>
    </w:tbl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F792D">
        <w:rPr>
          <w:rFonts w:ascii="Arial" w:eastAsia="Times New Roman" w:hAnsi="Arial" w:cs="Arial"/>
          <w:b/>
          <w:bCs/>
          <w:sz w:val="20"/>
          <w:szCs w:val="20"/>
        </w:rPr>
        <w:t xml:space="preserve">Napomena: 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Sva pitanja u Upitniku moraju biti odgovorena upisivanjem oznake "X" u odgovarajući stupac.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pitanje nije primjenjivo na obveznika oznaka "X" stavlja se u stupac N/P.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se u različitim pitanjima traži isti dokaz, potrebno ga je priložiti samo jednom.</w:t>
      </w:r>
    </w:p>
    <w:p w:rsidR="00DF792D" w:rsidRPr="00DF792D" w:rsidRDefault="00DF792D" w:rsidP="00DF792D">
      <w:pPr>
        <w:spacing w:after="0"/>
        <w:rPr>
          <w:rFonts w:ascii="Calibri" w:eastAsia="Times New Roman" w:hAnsi="Calibri" w:cs="Times New Roman"/>
          <w:b/>
        </w:rPr>
        <w:sectPr w:rsidR="00DF792D" w:rsidRPr="00DF792D" w:rsidSect="002F2965">
          <w:footerReference w:type="even" r:id="rId8"/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59" w:type="dxa"/>
        <w:tblInd w:w="-601" w:type="dxa"/>
        <w:tblLayout w:type="fixed"/>
        <w:tblLook w:val="0000"/>
      </w:tblPr>
      <w:tblGrid>
        <w:gridCol w:w="824"/>
        <w:gridCol w:w="27"/>
        <w:gridCol w:w="5440"/>
        <w:gridCol w:w="546"/>
        <w:gridCol w:w="109"/>
        <w:gridCol w:w="567"/>
        <w:gridCol w:w="709"/>
        <w:gridCol w:w="1701"/>
        <w:gridCol w:w="4536"/>
      </w:tblGrid>
      <w:tr w:rsidR="00DF792D" w:rsidRPr="00DF792D" w:rsidTr="002F2965">
        <w:trPr>
          <w:trHeight w:val="25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5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Pitanje 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Odgovor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Referenca</w:t>
            </w:r>
          </w:p>
        </w:tc>
      </w:tr>
      <w:tr w:rsidR="00DF792D" w:rsidRPr="00DF792D" w:rsidTr="002F2965">
        <w:trPr>
          <w:trHeight w:val="37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DJELOMIČNO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431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sz w:val="20"/>
                <w:szCs w:val="20"/>
              </w:rPr>
              <w:t>IZVRŠAVANJE PRORAČUNA/FINACIJSKOG PLANA</w:t>
            </w:r>
          </w:p>
        </w:tc>
      </w:tr>
      <w:tr w:rsidR="00DF792D" w:rsidRPr="00DF792D" w:rsidTr="002F2965">
        <w:trPr>
          <w:trHeight w:val="92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Procedura stvaranja ugovornih obveza jasno je definirana i dostupna svim ustrojstvenim jedinicama/upravnim odjelima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pisane procedure</w:t>
            </w:r>
          </w:p>
        </w:tc>
      </w:tr>
      <w:tr w:rsidR="00DF792D" w:rsidRPr="00DF792D" w:rsidTr="002F2965">
        <w:trPr>
          <w:trHeight w:val="210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Obveze po ugovorima koji zahtijevaju plaćanje iz proračuna u sljedećim godinama preuzimale su se isključivo uz suglasnost ministra financija/Vlade Republike Hrvatske odnosno općinskog načelnika /gradonačelnika /župana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proračunski korisnici državnog proračuna i proračunski korisnici proračuna jedinica lokalne i područne (regionalne) samouprave)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dobivenih suglasnosti na uzorku od najviše 20</w:t>
            </w:r>
          </w:p>
        </w:tc>
      </w:tr>
      <w:tr w:rsidR="00DF792D" w:rsidRPr="00DF792D" w:rsidTr="002F2965">
        <w:trPr>
          <w:trHeight w:val="207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Obveze po investicijskim projektima preuzimaju se isključivo ako su predviđene u proračunu i projekcijama, financijskom planu i po provedenom stručnom vrednovanju i ocjeni opravdanosti te učinkovitosti investicijskog projekta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na uzorku od najviše 10 investicijskih projekata dokazati povezanost s proračunom i projekcijama, odnosno s financijskim planom i priložiti preslike odnosno reference  provedenih vrednovanja</w:t>
            </w:r>
          </w:p>
        </w:tc>
      </w:tr>
      <w:tr w:rsidR="00DF792D" w:rsidRPr="00DF792D" w:rsidTr="002F2965">
        <w:trPr>
          <w:trHeight w:val="8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Preraspodjele su izvršene u skladu s odredbama Zakona o proračunu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preslika odnosno referenca dopisa s odobrenom preraspodjelom </w:t>
            </w:r>
          </w:p>
        </w:tc>
      </w:tr>
      <w:tr w:rsidR="00DF792D" w:rsidRPr="00DF792D" w:rsidTr="002F2965">
        <w:trPr>
          <w:trHeight w:val="214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Poduzete su sve potrebne mjere za potpunu naplatu prihoda i primitaka iz nadležnosti i uplatu u proračun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na uzorku od 10% dospjelih nenaplaćenih potraživanja sa stanjem 31. prosinca dokazi o poduzetim radnjama za naplatu (preslike odnosno reference odgovarajućih dopisa, opomena), a najviše 100</w:t>
            </w:r>
          </w:p>
        </w:tc>
      </w:tr>
      <w:tr w:rsidR="00DF792D" w:rsidRPr="00DF792D" w:rsidTr="002F2965">
        <w:trPr>
          <w:trHeight w:val="20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Svi namjenski prihodi i primici te vlastiti prihodi proračunskih korisnika uplaćivali su se u nadležni proračun jedinice lokalne i područne (regionalne) samouprave osim onih koji su izuzeti od obveze uplate temeljem odluke o izvršavanju proračuna jedinice lokalne i područne (regionalne) samouprave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 koje u svojoj nadležnosti imaju proračunske korisnike)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dokaz o uplati namjenskih prihoda i primitaka te vlastitih prihoda u nadležni proračun i preslika odnosno referenca odluke </w:t>
            </w:r>
          </w:p>
        </w:tc>
      </w:tr>
      <w:tr w:rsidR="00DF792D" w:rsidRPr="00DF792D" w:rsidTr="002F2965">
        <w:trPr>
          <w:trHeight w:val="111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Ministarstvo odnosno jedinica lokalne i područne (regionalne) samouprave pratila je korištenje namjenskih prihoda i primitaka te vlastitih prihoda koje ostvaruju proračunski korisnici iz svoje nadležnosti koji su izuzeti od uplate u proračun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dokaz o načinu praćenja</w:t>
            </w:r>
          </w:p>
        </w:tc>
      </w:tr>
      <w:tr w:rsidR="00DF792D" w:rsidRPr="00DF792D" w:rsidTr="002F2965">
        <w:trPr>
          <w:trHeight w:val="1961"/>
        </w:trPr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Sredstva su utrošena u skladu s proračunom odnosno financijskim planom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F792D" w:rsidRPr="00DF792D" w:rsidRDefault="00C74C73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izvještaj o izvršenju proračuna za jedinice lokalne i područne (regionalne) samouprave iz kojeg se vidi da nije utrošeno više sredstva od odobrenih proračunom (osim za vlastite i namjenske prihode i primitke u skladu sa Zakonom o proračunu)</w:t>
            </w: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</w:p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usporedba izvršenja i financijskog plana iz koje se vidi da nije utrošeno više sredstva od odobrenih financijskim planom (osim za vlastite i namjenske prihode i primitke u skladu sa Zakonom o proračunu) za proračunske i izvanproračunske korisnike</w:t>
            </w:r>
          </w:p>
        </w:tc>
      </w:tr>
      <w:tr w:rsidR="00DF792D" w:rsidRPr="00DF792D" w:rsidTr="002F2965">
        <w:trPr>
          <w:trHeight w:val="1651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Isplata sredstava temeljila se na vjerodostojnoj dokumentaciji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nasumično odabrano najmanje pet isplata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br/>
              <w:t xml:space="preserve"> po svakoj od vrsta rashoda na razini definiranoj u Tablici: Testiranja uz pitanje 24. danoj u dodatku 1 Upitnika</w:t>
            </w:r>
          </w:p>
        </w:tc>
      </w:tr>
      <w:tr w:rsidR="00DF792D" w:rsidRPr="00DF792D" w:rsidTr="002F2965">
        <w:trPr>
          <w:trHeight w:val="1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Pratilo se i kontroliralo namjensko isplaćivanje donacija, pomoći, subvencija do krajnjeg korisnika te korištenje istih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uzorak od 5 % ukupnog broja svih transfera i minimalno 5 % ukupne vrijednosti svih transfera, a najviše 100 </w:t>
            </w:r>
          </w:p>
        </w:tc>
      </w:tr>
      <w:tr w:rsidR="00DF792D" w:rsidRPr="00DF792D" w:rsidTr="002F2965">
        <w:trPr>
          <w:trHeight w:val="3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25.1.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Dostupne su preslike odnosno reference odnosno referenca ugovora koje su podloga za isplate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ugovora</w:t>
            </w:r>
          </w:p>
        </w:tc>
      </w:tr>
      <w:tr w:rsidR="00DF792D" w:rsidRPr="00DF792D" w:rsidTr="002F2965">
        <w:trPr>
          <w:trHeight w:val="62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25.2.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Obavljene su provjere na licu mjesta kod krajnjih korisnika na uzorku za pojedinačne isplate iznad 20.000,00 kn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zapisnika izvršene kontrole</w:t>
            </w:r>
          </w:p>
        </w:tc>
      </w:tr>
      <w:tr w:rsidR="00DF792D" w:rsidRPr="00DF792D" w:rsidTr="002F2965">
        <w:trPr>
          <w:trHeight w:val="34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25.3.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Postoji izvješće od krajnjeg korisnika o utrošku sredstava/realizaciji projekta za pojedinačne isplate iznad 10.000,00 kn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izviješća</w:t>
            </w:r>
          </w:p>
        </w:tc>
      </w:tr>
      <w:tr w:rsidR="00DF792D" w:rsidRPr="00DF792D" w:rsidTr="002F2965">
        <w:trPr>
          <w:trHeight w:val="19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 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Prilikom isporuke opreme/izvođenja radova obavljene su sve potrebne provjere 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provjera na uzorku 5% ukupnog broja svih nabava dugotrajne nefinancijske imovine i minimalno 5% ukupne vrijednosti svih nabava dugotrajne nefinancijske imovine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26.1.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na način utvrđen ugovorom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C74C73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="00DF792D"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26.2. 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u skladu sa vremenskim rokovima iz ugovora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55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26.3.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u skladu sa zahtjevima količine i kvalitete iz ugovora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26.4.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na lokacijama koje su navedene u ugovoru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26.5.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prema opisu iz ugovora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26.6.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isporučena/Radovi su izvedeni sukladno nacrtima, analizama, modelima, uzorcima iz ugovora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50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26.7.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Oprema je instalirana i u upotrebi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priložiti odgovarajući dokaz</w:t>
            </w:r>
          </w:p>
        </w:tc>
      </w:tr>
      <w:tr w:rsidR="00DF792D" w:rsidRPr="00DF792D" w:rsidTr="002F2965">
        <w:trPr>
          <w:trHeight w:val="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Propisana je procedura zaprimanja računa, njihove provjere u odgovarajućim ustrojstvenim jedinicama/upravnim odjelima i pravovremenog plaćanja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pisane procedure</w:t>
            </w:r>
          </w:p>
        </w:tc>
      </w:tr>
      <w:tr w:rsidR="00DF792D" w:rsidRPr="00DF792D" w:rsidTr="002F2965">
        <w:trPr>
          <w:trHeight w:val="87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792D" w:rsidRPr="00DF792D" w:rsidDel="00670777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Svi ugovori se čuvaju i arhiviraju sukladno propisima o čuvanju arhivske građe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74C73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na pravilnik o zaštiti i obradi arhivskoga gradiva</w:t>
            </w:r>
          </w:p>
        </w:tc>
      </w:tr>
      <w:tr w:rsidR="00DF792D" w:rsidRPr="00DF792D" w:rsidTr="002F2965">
        <w:trPr>
          <w:trHeight w:val="76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29. 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Imenovana je osoba za nepravilnosti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ministarstva i druga državna tijela na razini razdjela organizacijske klasifikacije te jedinice lokalne i područne (regionalne) samouprave)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C74C73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odluke o imenovanju ili link na web stranicu gdje su objavljeni podaci o osobi za nepravilnosti</w:t>
            </w:r>
          </w:p>
        </w:tc>
      </w:tr>
    </w:tbl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DF792D">
        <w:rPr>
          <w:rFonts w:ascii="Arial" w:eastAsia="Times New Roman" w:hAnsi="Arial" w:cs="Arial"/>
          <w:b/>
          <w:bCs/>
          <w:sz w:val="20"/>
          <w:szCs w:val="20"/>
        </w:rPr>
        <w:t xml:space="preserve">Napomena: 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Sva pitanja u Upitniku moraju biti odgovorena upisivanjem oznake "X" u odgovarajući stupac.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pitanje nije primjenjivo na obveznika oznaka "X" stavlja se u stupac N/P.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se u različitim pitanjima traži isti dokaz, potrebno ga je priložiti samo jednom.</w:t>
      </w:r>
    </w:p>
    <w:p w:rsidR="00DF792D" w:rsidRPr="00DF792D" w:rsidRDefault="00DF792D" w:rsidP="00DF79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U ćelije označene sivom bojom nije dozvoljeno upisivati odgovore.</w:t>
      </w:r>
    </w:p>
    <w:p w:rsidR="00DF792D" w:rsidRPr="00DF792D" w:rsidRDefault="00DF792D" w:rsidP="00DF792D">
      <w:pPr>
        <w:spacing w:after="0"/>
        <w:rPr>
          <w:rFonts w:ascii="Calibri" w:eastAsia="Times New Roman" w:hAnsi="Calibri" w:cs="Times New Roman"/>
          <w:b/>
        </w:rPr>
        <w:sectPr w:rsidR="00DF792D" w:rsidRPr="00DF792D" w:rsidSect="002F296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59" w:type="dxa"/>
        <w:tblInd w:w="-601" w:type="dxa"/>
        <w:tblLook w:val="0000"/>
      </w:tblPr>
      <w:tblGrid>
        <w:gridCol w:w="851"/>
        <w:gridCol w:w="5711"/>
        <w:gridCol w:w="560"/>
        <w:gridCol w:w="505"/>
        <w:gridCol w:w="567"/>
        <w:gridCol w:w="2097"/>
        <w:gridCol w:w="4168"/>
      </w:tblGrid>
      <w:tr w:rsidR="00DF792D" w:rsidRPr="00DF792D" w:rsidTr="002F296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5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Pitanje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Odgovor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Referenca</w:t>
            </w:r>
          </w:p>
        </w:tc>
      </w:tr>
      <w:tr w:rsidR="00DF792D" w:rsidRPr="00DF792D" w:rsidTr="002F2965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DJELOMIČNO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1122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JAVNA NABAVA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dokazati na uzorku od 5% ugovora/objava/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br/>
              <w:t xml:space="preserve">provedenih postupaka javne nabave    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30.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 zaključenim ugovorima o nabavama velike vrijednosti ugovoreni su instrumenti za osiguranje urednog ispunjenja ugovornih obveza  ili odredbe o ugovornoj kazni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ugovora, navesti članak u kojem stoje odredbe o instrumentima urednog ispunjenja ugovornih obveza  ili odredbe o ugovornoj kazni</w:t>
            </w:r>
          </w:p>
        </w:tc>
      </w:tr>
      <w:tr w:rsidR="00DF792D" w:rsidRPr="00DF792D" w:rsidTr="002F2965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Ugovori o javnoj nabavi zaključeni su u skladu s uvjetima određenim u dokumentaciji za nadmetanje i odabranom ponudom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1C4FE8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dokumentacije o provedenim postupcima i preslike odnosno reference ugovora</w:t>
            </w:r>
          </w:p>
        </w:tc>
      </w:tr>
      <w:tr w:rsidR="00DF792D" w:rsidRPr="00DF792D" w:rsidTr="002F2965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Za sve predmete javne nabave čija je procijenjena vrijednost jednaka ili veća od 200.000,00 kuna za nabavu robe i usluga, odnosno za nabavu radova jednaka ili veća od 500.000,00 kuna vrijednost provedeni su postupci javne nabave sukladno odredbama Zakona o javnoj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oznake i datum objave 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Za provedene postupke javne nabave u Elektroničkom oglasniku javne nabave objavljene su odgovarajuće objave sukladno Zakonu o javnoj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oznake i datum objave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Na internetskim stranicama (ili u službenim glasilu ili na oglasnoj ploči ili na drugi način) je dostupan  popis gospodarskih subjekata s kojima je obveznik odnosno predstavnik naručitelja ili s njime povezane osobe u sukobu interesa u smislu propisa o javnoj nabavi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adresa internetske stranice ili broj i naziv službenog glasila ili druga oznaka mjesta gdje je popis objavljen </w:t>
            </w:r>
          </w:p>
        </w:tc>
      </w:tr>
      <w:tr w:rsidR="00DF792D" w:rsidRPr="00DF792D" w:rsidTr="002F296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Donesen je plan nabave u skladu s propisima o javnoj nabavi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adresa internetskih stranicama gdje je objavljen plan nabave</w:t>
            </w:r>
          </w:p>
        </w:tc>
      </w:tr>
      <w:tr w:rsidR="00DF792D" w:rsidRPr="00DF792D" w:rsidTr="002F2965">
        <w:trPr>
          <w:trHeight w:val="1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 pripremi i provedbi postupaka javne nabave najmanje jedan ovlašteni predstavnik imao je važeći certifikat u području javne nabave u skladu s propisima o javnoj nabavi.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potvrda i internih odluka o imenovanju ovlaštenih predstavnika naručitelja</w:t>
            </w:r>
          </w:p>
        </w:tc>
      </w:tr>
      <w:tr w:rsidR="00DF792D" w:rsidRPr="00DF792D" w:rsidTr="002F2965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 pripremi tehničke specifikacije sudjelovale su osobe različite od  ovlaštenih predstavnika naručitelja koje ocjenjuju ponude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imena osoba koje su sudjelovale u pripremi tehničke dokumentacije i preslika odnosno referenca internih odluka o imenovanju ovlaštenih predstavnika naručitelja</w:t>
            </w:r>
          </w:p>
        </w:tc>
      </w:tr>
      <w:tr w:rsidR="00DF792D" w:rsidRPr="00DF792D" w:rsidTr="002F2965">
        <w:trPr>
          <w:trHeight w:val="1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Ovlašteni predstavnici naručitelja koji daju prijedlog za odluku o odabiru bile su različite od osoba koje prate provedbu ugovora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internih odluka o imenovanju ovlaštenih predstavnika naručitelja i imena osoba koje prate provedbu ugovora</w:t>
            </w:r>
          </w:p>
        </w:tc>
      </w:tr>
      <w:tr w:rsidR="00DF792D" w:rsidRPr="00DF792D" w:rsidTr="002F2965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Naručitelj vodi registar ugovora o javnoj nabavi i okvirnih sporazuma koji sadrži podatke u skladu s propisima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adresa internetskih stranicama gdje je objavljen registar ugovora o javnoj nabavii okvirnih sporazuma  </w:t>
            </w:r>
          </w:p>
        </w:tc>
      </w:tr>
      <w:tr w:rsidR="00DF792D" w:rsidRPr="00DF792D" w:rsidTr="002F2965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Sva dokumentacija o svakom postupku javne nabave čuva se najmanje četiri godine od završetka postupka javne nabave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ovitka predmeta</w:t>
            </w:r>
          </w:p>
        </w:tc>
      </w:tr>
      <w:tr w:rsidR="00DF792D" w:rsidRPr="00DF792D" w:rsidTr="002F2965">
        <w:trPr>
          <w:trHeight w:val="1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Ugovori o nabavi javnih usluga iz Dodatka II. B sklopljeni su na temelju odredaba Zakona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preslike odnosno reference dokumentacije o nabavi i sklopljenih ugovora</w:t>
            </w:r>
          </w:p>
        </w:tc>
      </w:tr>
      <w:tr w:rsidR="00DF792D" w:rsidRPr="00DF792D" w:rsidTr="002F2965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Do 31. ožujka tijelu nadležnom za sustav javne nabave dostavljeno je  izvješće o javnoj nabavi za prethodnu godinu koje sadrži podatke sukladno Zakonu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izvješća</w:t>
            </w:r>
          </w:p>
        </w:tc>
      </w:tr>
      <w:tr w:rsidR="00DF792D" w:rsidRPr="00DF792D" w:rsidTr="002F2965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43.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Donesen je akt kojim su uređena pitanja nabave za nabavu robe i usluga odnosno za nabavu radova na koje se ne primjenjuje Zakon o javnoj nabavi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1C4FE8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akta</w:t>
            </w:r>
          </w:p>
        </w:tc>
      </w:tr>
    </w:tbl>
    <w:p w:rsidR="00DF792D" w:rsidRPr="00DF792D" w:rsidRDefault="00DF792D" w:rsidP="00DF792D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F792D">
        <w:rPr>
          <w:rFonts w:ascii="Arial" w:eastAsia="Times New Roman" w:hAnsi="Arial" w:cs="Arial"/>
          <w:b/>
          <w:bCs/>
          <w:sz w:val="20"/>
          <w:szCs w:val="20"/>
        </w:rPr>
        <w:t xml:space="preserve">Napomena: 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Sva pitanja u Upitniku moraju biti odgovorena upisivanjem oznake "X" u odgovarajući stupac.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pitanje nije primjenjivo na obveznika oznaka "X" stavlja se u stupac N/P.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color w:val="000000"/>
          <w:sz w:val="20"/>
          <w:szCs w:val="20"/>
        </w:rPr>
        <w:t>Ako je provođenje postupaka javne nabave objedinjeno na razini osnivača, obveznik odgovara „NIJE PRIMJENJIVO – N/P“.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se u različitim pitanjima traži isti dokaz, potrebno ga je priložiti samo jednom.</w:t>
      </w:r>
    </w:p>
    <w:p w:rsidR="00DF792D" w:rsidRPr="00DF792D" w:rsidRDefault="00DF792D" w:rsidP="00DF792D">
      <w:pPr>
        <w:spacing w:after="0"/>
        <w:rPr>
          <w:rFonts w:ascii="Calibri" w:eastAsia="Times New Roman" w:hAnsi="Calibri" w:cs="Times New Roman"/>
          <w:b/>
        </w:rPr>
      </w:pPr>
    </w:p>
    <w:p w:rsidR="00DF792D" w:rsidRPr="00DF792D" w:rsidRDefault="00DF792D" w:rsidP="00DF792D">
      <w:pPr>
        <w:spacing w:after="0"/>
        <w:rPr>
          <w:rFonts w:ascii="Calibri" w:eastAsia="Times New Roman" w:hAnsi="Calibri" w:cs="Times New Roman"/>
          <w:b/>
        </w:rPr>
        <w:sectPr w:rsidR="00DF792D" w:rsidRPr="00DF792D" w:rsidSect="002F296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59" w:type="dxa"/>
        <w:tblInd w:w="-601" w:type="dxa"/>
        <w:tblLook w:val="0000"/>
      </w:tblPr>
      <w:tblGrid>
        <w:gridCol w:w="851"/>
        <w:gridCol w:w="5703"/>
        <w:gridCol w:w="560"/>
        <w:gridCol w:w="505"/>
        <w:gridCol w:w="567"/>
        <w:gridCol w:w="2097"/>
        <w:gridCol w:w="4176"/>
      </w:tblGrid>
      <w:tr w:rsidR="00DF792D" w:rsidRPr="00DF792D" w:rsidTr="002F296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Pitanje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Odgovor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Referenca</w:t>
            </w:r>
          </w:p>
        </w:tc>
      </w:tr>
      <w:tr w:rsidR="00DF792D" w:rsidRPr="00DF792D" w:rsidTr="002F2965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DJELOMIČNO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611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sz w:val="20"/>
                <w:szCs w:val="20"/>
              </w:rPr>
              <w:t>RAČUNOVODSTVO</w:t>
            </w:r>
          </w:p>
        </w:tc>
      </w:tr>
      <w:tr w:rsidR="00DF792D" w:rsidRPr="00DF792D" w:rsidTr="002F2965">
        <w:trPr>
          <w:trHeight w:val="1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Rashodi su evidentirani  u glavnoj knjizi na temelju nastanka poslovnog događaja (obveze) i u izvještajnom razdoblju na koje se odnose neovisno o plaćanju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 xml:space="preserve">uzorak 1% svih dokumenata temeljem kojih su evidentirani poslovni događaji (ulazni računi, obračuni i dr.), a najviše 100 </w:t>
            </w:r>
          </w:p>
        </w:tc>
      </w:tr>
      <w:tr w:rsidR="00DF792D" w:rsidRPr="00DF792D" w:rsidTr="002F2965">
        <w:trPr>
          <w:trHeight w:val="13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Narudžbenice su valjano ispunjene na način da se vidi tko je nabavu inicirao, tko je nabavu odobrio, koja vrsta roba/usluga/ radova se nabavlja uz detaljnu specifikaciju jedinica mjere, količina, jediničnih cijena te ukupnih cijena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1C4FE8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="00DF792D"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narudžbenica, a najviše 100</w:t>
            </w:r>
          </w:p>
        </w:tc>
      </w:tr>
      <w:tr w:rsidR="00DF792D" w:rsidRPr="00DF792D" w:rsidTr="002F2965">
        <w:trPr>
          <w:trHeight w:val="10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 potpisanim ugovorima s dobavljačima/pružateljima usluga/izvršiteljima radova detaljno je utvrđena vrsta robe/usluga/radova koji se nabavljaju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5% svih ugovora i minimalno 5% ukupne vrijednosti svih ugovora</w:t>
            </w:r>
          </w:p>
        </w:tc>
      </w:tr>
      <w:tr w:rsidR="00DF792D" w:rsidRPr="00DF792D" w:rsidTr="002F2965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Iz primke, otpremnice i drugog odgovarajućeg dokumenta potpisanog od skladištara ili druge osobe zadužene za zaprimanje robe i dobavljača vidljivo je da je prilikom preuzimanja robe utvrđena količina, stanje i kvaliteta zaprimljene robe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preslike odnosno reference dokumenata na uzorku 5% svih dokumenata, a najviše 100</w:t>
            </w:r>
          </w:p>
        </w:tc>
      </w:tr>
      <w:tr w:rsidR="00DF792D" w:rsidRPr="00DF792D" w:rsidTr="002F2965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48.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Postoji izvještaj o obavljenoj usluzi odnosno druga vrsta pisanog odobrenja ili dokumentacije kojom se potvrđuje izvršenje usluge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preslika odnosno referenca izvještaja ili druge dokumentacije na uzorku 1% izvršenih usluga, a najviše 100</w:t>
            </w:r>
          </w:p>
        </w:tc>
      </w:tr>
      <w:tr w:rsidR="00DF792D" w:rsidRPr="00DF792D" w:rsidTr="002F2965">
        <w:trPr>
          <w:trHeight w:val="1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O izvedenim radovima, sukladno definiranoj proceduri odobrenja radova, postoji privremena odnosno konačna obračunska situacija, koju odobrava osoba odnosno tijelo koje nadzire i odobrava radove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 xml:space="preserve">preslike odnosno reference odobrenih privremenih odnosno konačnih situacija na uzorku 5% svih ugovora </w:t>
            </w:r>
          </w:p>
        </w:tc>
      </w:tr>
      <w:tr w:rsidR="00DF792D" w:rsidRPr="00DF792D" w:rsidTr="002F2965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50.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Na zaprimljenim računima navedeni su svi elementi računa u skladu sa zakonskim i podzakonskim propisima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računa, a najviše 100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51.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Zaprimljeni računi sadrže referencu na broj narudžbenice/ugovora temeljem kojeg su roba/usluge/radovi isporučeni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računa po ugovorima sklopljenim temeljem postupaka javne nabave, a najviše 100</w:t>
            </w:r>
          </w:p>
        </w:tc>
      </w:tr>
      <w:tr w:rsidR="00DF792D" w:rsidRPr="00DF792D" w:rsidTr="002F2965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52.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Računi sadrže detaljnu specifikaciju roba/usluga/radova koje odgovaraju opisu i specifikaciji roba/usluga/radova definiranih narudžbenicom odnosno ugovorom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uzorak1% svih računa, a najviše 100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53.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Za svaki račun obavljena je matematička kontrola ispravnosti iznosa koji je zaračunan što je naznačeno na računu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1C4FE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računa, a najviše 100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54.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Provjereno je postojanje potpisa, žiga ili druge oznake kojom se može potvrditi da je račun odobren za plaćanje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C7DE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računa, a najviše 100</w:t>
            </w:r>
          </w:p>
        </w:tc>
      </w:tr>
      <w:tr w:rsidR="00DF792D" w:rsidRPr="00DF792D" w:rsidTr="002F2965">
        <w:trPr>
          <w:trHeight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55.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Provjerom suštine računa i dokumentacije obavljenih usluga, radova odnosno nabave robe računi se u glavnoj knjizi evidentiraju po proračunskim klasifikacijama </w:t>
            </w: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(odgovaraju obveznici primjene proračunskog računovodstva)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1% svih računa, a najviše 100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56.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Prihodi su evidentirani u glavnoj knjizi u trenutku u kojem su postali raspoloživi i mjerljivi </w:t>
            </w: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(odgovaraju obveznici primjene proračunskog računovodstva)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 xml:space="preserve">uzorak 1% svih uplata, a najviše 100 </w:t>
            </w:r>
          </w:p>
        </w:tc>
      </w:tr>
      <w:tr w:rsidR="00DF792D" w:rsidRPr="00DF792D" w:rsidTr="002F2965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57.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Za primljene i dane donacije nefinancijske imovine u glavnoj knjizi evidentirani su prihodi i rashodi prema procijenjenoj vrijednosti imovine, a međusobni prijenos nefinancijske imovine proračuna i proračunskih korisnika evidentiran je preko promjena u obujmu imovine </w:t>
            </w: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(odgovaraju obveznici primjene proračunskog računovodstva)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uzorak 5% svih donacija i minimalno 5% ukupne vrijednosti svih primljenih i danih donacija</w:t>
            </w:r>
          </w:p>
        </w:tc>
      </w:tr>
      <w:tr w:rsidR="00DF792D" w:rsidRPr="00DF792D" w:rsidTr="002F2965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Povjerenstva za popis osnovao je čelnik proračuna/proračunskog korisnika. Odredio je datum obavljanja popisa, rokove obavljanja popisa i dostavljanje izvještaja s priloženim popisnim listama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preslika odnosno referenca odluke o provođenju popisa</w:t>
            </w:r>
          </w:p>
        </w:tc>
      </w:tr>
      <w:tr w:rsidR="00DF792D" w:rsidRPr="00DF792D" w:rsidTr="002F2965">
        <w:trPr>
          <w:trHeight w:val="7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59.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Povjerenstvo za popis obavilo je popis cjelokupne imovine i obveza, sastavilo izvještaj temeljem popisnih lista i predalo ga je čelniku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preslika odnosno referenca izvještaja</w:t>
            </w:r>
          </w:p>
        </w:tc>
      </w:tr>
      <w:tr w:rsidR="00DF792D" w:rsidRPr="00DF792D" w:rsidTr="002F2965">
        <w:trPr>
          <w:trHeight w:val="1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60.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Poslovne knjige i računovodstvene isprave čuvaju se sukladno rokovima utvrđenima Pravilnikom o proračunskom računovodstvu i računskom planu </w:t>
            </w: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(odgovaraju obveznici primjene proračunskog računovodstva)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klasifikacijska oznaka Pravilnika o čuvanju arhivskog i registraturnog gradiva odnosno odgovarajući dokaz</w:t>
            </w:r>
          </w:p>
        </w:tc>
      </w:tr>
      <w:tr w:rsidR="00DF792D" w:rsidRPr="00DF792D" w:rsidTr="002F2965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Uspostavljene računovodstvene evidencije omogućile su praćenje korištenja sredstva po izvorima financiranja i programima (projektima/aktivnostima)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 xml:space="preserve">dio analitičke evidencije  po izvorima financiranja i programima (projektima i aktivnostima) ili referenca iz pitanja 23. </w:t>
            </w:r>
          </w:p>
        </w:tc>
      </w:tr>
      <w:tr w:rsidR="00DF792D" w:rsidRPr="00DF792D" w:rsidTr="002F2965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62.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Uspostavljena je evidencija svih ugovora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preslika odnosno referenca dijela evidencije</w:t>
            </w:r>
          </w:p>
        </w:tc>
      </w:tr>
      <w:tr w:rsidR="00DF792D" w:rsidRPr="00DF792D" w:rsidTr="002F2965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63.</w:t>
            </w:r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Vodi se analitička evidencija dugotrajne, nefinancijske imovine i usklađena je s glavnom knjigom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C0C0C0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preslika odnosno referenca dijela evidencije</w:t>
            </w:r>
          </w:p>
        </w:tc>
      </w:tr>
    </w:tbl>
    <w:p w:rsidR="00DF792D" w:rsidRPr="00DF792D" w:rsidRDefault="00DF792D" w:rsidP="00DF792D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F792D">
        <w:rPr>
          <w:rFonts w:ascii="Arial" w:eastAsia="Times New Roman" w:hAnsi="Arial" w:cs="Arial"/>
          <w:b/>
          <w:bCs/>
          <w:sz w:val="20"/>
          <w:szCs w:val="20"/>
        </w:rPr>
        <w:t xml:space="preserve">Napomena: 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Sva pitanja u Upitniku moraju biti odgovorena upisivanjem oznake "X" u odgovarajući stupac.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pitanje nije primjenjivo na obveznika oznaka "X" stavlja se u stupac N/P.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se u različitim pitanjima traži isti dokaz, potrebno ga je priložiti samo jednom. U ćelije označene sivom bojom nije dozvoljeno upisivati odgovore.</w:t>
      </w:r>
    </w:p>
    <w:p w:rsidR="00DF792D" w:rsidRPr="00DF792D" w:rsidRDefault="00DF792D" w:rsidP="00DF792D">
      <w:pPr>
        <w:spacing w:after="0"/>
        <w:rPr>
          <w:rFonts w:ascii="Calibri" w:eastAsia="Times New Roman" w:hAnsi="Calibri" w:cs="Times New Roman"/>
          <w:b/>
        </w:rPr>
        <w:sectPr w:rsidR="00DF792D" w:rsidRPr="00DF792D" w:rsidSect="002F296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01" w:type="dxa"/>
        <w:tblInd w:w="-743" w:type="dxa"/>
        <w:tblLook w:val="0000"/>
      </w:tblPr>
      <w:tblGrid>
        <w:gridCol w:w="851"/>
        <w:gridCol w:w="5845"/>
        <w:gridCol w:w="830"/>
        <w:gridCol w:w="727"/>
        <w:gridCol w:w="703"/>
        <w:gridCol w:w="5645"/>
      </w:tblGrid>
      <w:tr w:rsidR="00DF792D" w:rsidRPr="00DF792D" w:rsidTr="002F296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Pitanje 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Odgovor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Referenca</w:t>
            </w:r>
          </w:p>
        </w:tc>
      </w:tr>
      <w:tr w:rsidR="00DF792D" w:rsidRPr="00DF792D" w:rsidTr="002F2965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N/P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792D" w:rsidRPr="00DF792D" w:rsidRDefault="00DF792D" w:rsidP="00DF792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</w:t>
            </w:r>
            <w:r w:rsidRPr="00DF792D"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5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792D" w:rsidRPr="00DF792D" w:rsidTr="002F2965">
        <w:trPr>
          <w:trHeight w:val="556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IZVJEŠTAVANJE I OSTALO </w:t>
            </w:r>
          </w:p>
        </w:tc>
      </w:tr>
      <w:tr w:rsidR="00DF792D" w:rsidRPr="00DF792D" w:rsidTr="002F2965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64.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Kod predaje financijskih izvještaja poštivali su se rokovi i način predaje utvrđeni Pravilnikom o financijskom izvještavanju u proračunskom računovodstvu </w:t>
            </w:r>
            <w:r w:rsidRPr="00DF792D">
              <w:rPr>
                <w:rFonts w:ascii="Arial" w:eastAsia="Times New Roman" w:hAnsi="Arial" w:cs="Arial"/>
                <w:color w:val="C0C0C0"/>
                <w:sz w:val="20"/>
                <w:szCs w:val="20"/>
              </w:rPr>
              <w:t>(odgovaraju obveznici primjene proračunskog računovodstva)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preslike odnosno reference referentnih stranica financijskih izvještaja </w:t>
            </w:r>
          </w:p>
        </w:tc>
      </w:tr>
      <w:tr w:rsidR="00DF792D" w:rsidRPr="00DF792D" w:rsidTr="002F2965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65.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Jedinica lokalne i područne (regionalne) samouprave izvještavala je Ministarstvo financija o zaduženjima/danim suglasnostima za zaduženja/jamstva sukladno odredbama Zakona o proračunu i Pravilnika o postupku zaduživanja te davanja jamstava i suglasnosti jedinica lokalne i područne (regionalne) samouprave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</w:t>
            </w:r>
          </w:p>
        </w:tc>
      </w:tr>
      <w:tr w:rsidR="00DF792D" w:rsidRPr="00DF792D" w:rsidTr="002F2965">
        <w:trPr>
          <w:trHeight w:val="3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66.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Jedinica lokalne i područne (regionalne) samouprave (korisnik pomoći izravnanja) dostavila je izvještaj o utrošenim sredstvima resornom ministarstvu ili nadležnom tijelu državne uprave na propisan način i u rokovima utvrđenima Uredbom o načinu izračuna iznosa pomoći izravnanja za decentralizirane funkcije jedinice lokalne i područne (regionalne) samouprave i odlukama o kriterijima i mjerilima za osiguranje minimalnog financijskog standarda javnih potreba u djelatnostima osnovnog i srednjeg školstva, socijalne skrbi, zdravstva i vatrogastva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 (odgovaraju jedinice lokalne i područne (regionalne) samouprave - nositelji decentraliziranih funkcija)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</w:t>
            </w:r>
          </w:p>
        </w:tc>
      </w:tr>
      <w:tr w:rsidR="00DF792D" w:rsidRPr="00DF792D" w:rsidTr="002F2965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67.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 xml:space="preserve">Kod predaje polugodišnjeg i godišnjeg izvještaja o izvršenju proračuna jedinice lokalne i područne (regionalne) samouprave poštivali su se rokovi i odredbe o sadržaju izvještaja utvrđene Zakonom o proračunu  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 odnosno drugi dokaz da je polugodišnji i godišnji izvještaj predan predstavničkom tijelu te broj i naziv službenog glasila i datum objave izvještaja</w:t>
            </w:r>
          </w:p>
        </w:tc>
      </w:tr>
      <w:tr w:rsidR="00DF792D" w:rsidRPr="00DF792D" w:rsidTr="002F2965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68.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Godišnji izvještaj o izvršenju proračuna jedinice lokalne i područne (regionalne) samouprave dostavljen je Ministarstvu financija i Državnom uredu za reviziju u roku od 15 dana nakon što ga je donijelo predstavničko tijelo odnosno u slučaju da ga predstavničko tijelo nije donijelo, u roku od 60 dana od dana podnošenja navedenog izvještaja predstavničkom tijelu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(odgovaraju jedinice lokalne i područne (regionalne) samouprave)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925276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</w:t>
            </w:r>
          </w:p>
        </w:tc>
      </w:tr>
      <w:tr w:rsidR="00DF792D" w:rsidRPr="00DF792D" w:rsidTr="002F2965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69.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92D" w:rsidRPr="00DF792D" w:rsidRDefault="00DF792D" w:rsidP="00DF792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sz w:val="20"/>
                <w:szCs w:val="20"/>
              </w:rPr>
              <w:t>Provedene su suštinske i formalne kontrole dostavljenih Izjava o fiskalnoj odgovornost</w:t>
            </w: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 xml:space="preserve"> (odgovaraju nadležna ministarstva i jedinice lokalne i područne (regionalne) samouprave kojima se dostavljaju izjave o fiskalnoj odgovornosti)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925276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92D" w:rsidRPr="00DF792D" w:rsidRDefault="00DF792D" w:rsidP="00DF792D">
            <w:pPr>
              <w:spacing w:after="0"/>
              <w:rPr>
                <w:rFonts w:ascii="Arial" w:eastAsia="Times New Roman" w:hAnsi="Arial" w:cs="Arial"/>
                <w:color w:val="969696"/>
                <w:sz w:val="20"/>
                <w:szCs w:val="20"/>
              </w:rPr>
            </w:pPr>
            <w:r w:rsidRPr="00DF792D">
              <w:rPr>
                <w:rFonts w:ascii="Arial" w:eastAsia="Times New Roman" w:hAnsi="Arial" w:cs="Arial"/>
                <w:color w:val="969696"/>
                <w:sz w:val="20"/>
                <w:szCs w:val="20"/>
              </w:rPr>
              <w:t>preslika odnosno referenca dopisa ili pismena o izvršenim kontrolama</w:t>
            </w:r>
          </w:p>
        </w:tc>
      </w:tr>
    </w:tbl>
    <w:p w:rsidR="00DF792D" w:rsidRPr="00DF792D" w:rsidRDefault="00DF792D" w:rsidP="00DF792D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DF792D">
        <w:rPr>
          <w:rFonts w:ascii="Arial" w:eastAsia="Times New Roman" w:hAnsi="Arial" w:cs="Arial"/>
          <w:b/>
          <w:bCs/>
          <w:sz w:val="20"/>
          <w:szCs w:val="20"/>
        </w:rPr>
        <w:t xml:space="preserve">Napomena: 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Sva pitanja u Upitniku moraju biti odgovorena upisivanjem oznake "X" u odgovarajući stupac.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pitanje nije primjenjivo na obveznika oznaka "X" stavlja se u stupac N/P.</w:t>
      </w:r>
    </w:p>
    <w:p w:rsidR="00DF792D" w:rsidRPr="00DF792D" w:rsidRDefault="00DF792D" w:rsidP="00DF792D">
      <w:pPr>
        <w:spacing w:after="0"/>
        <w:rPr>
          <w:rFonts w:ascii="Arial" w:eastAsia="Times New Roman" w:hAnsi="Arial" w:cs="Arial"/>
          <w:sz w:val="20"/>
          <w:szCs w:val="20"/>
        </w:rPr>
      </w:pPr>
      <w:r w:rsidRPr="00DF792D">
        <w:rPr>
          <w:rFonts w:ascii="Arial" w:eastAsia="Times New Roman" w:hAnsi="Arial" w:cs="Arial"/>
          <w:sz w:val="20"/>
          <w:szCs w:val="20"/>
        </w:rPr>
        <w:t>Ako se u različitim pitanjima traži isti dokaz, potrebno ga je priložiti samo jednom.</w:t>
      </w:r>
    </w:p>
    <w:p w:rsidR="00DF792D" w:rsidRPr="00DF792D" w:rsidRDefault="00DF792D" w:rsidP="00DF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2D" w:rsidRPr="00DF792D" w:rsidRDefault="00DF792D" w:rsidP="00DF7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92D" w:rsidRPr="00DF792D" w:rsidSect="002777E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954" w:rsidRDefault="00714954" w:rsidP="00DF792D">
      <w:pPr>
        <w:spacing w:after="0" w:line="240" w:lineRule="auto"/>
      </w:pPr>
      <w:r>
        <w:separator/>
      </w:r>
    </w:p>
  </w:endnote>
  <w:endnote w:type="continuationSeparator" w:id="1">
    <w:p w:rsidR="00714954" w:rsidRDefault="00714954" w:rsidP="00DF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73" w:rsidRDefault="00C74C73" w:rsidP="002F29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74C73" w:rsidRDefault="00C74C73" w:rsidP="002F296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73" w:rsidRDefault="00C74C73" w:rsidP="002F2965">
    <w:pPr>
      <w:pStyle w:val="Podnoje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954" w:rsidRDefault="00714954" w:rsidP="00DF792D">
      <w:pPr>
        <w:spacing w:after="0" w:line="240" w:lineRule="auto"/>
      </w:pPr>
      <w:r>
        <w:separator/>
      </w:r>
    </w:p>
  </w:footnote>
  <w:footnote w:type="continuationSeparator" w:id="1">
    <w:p w:rsidR="00714954" w:rsidRDefault="00714954" w:rsidP="00DF792D">
      <w:pPr>
        <w:spacing w:after="0" w:line="240" w:lineRule="auto"/>
      </w:pPr>
      <w:r>
        <w:continuationSeparator/>
      </w:r>
    </w:p>
  </w:footnote>
  <w:footnote w:id="2">
    <w:p w:rsidR="00C74C73" w:rsidRDefault="00C74C73" w:rsidP="00DF792D">
      <w:pPr>
        <w:pStyle w:val="Tekstfusnote"/>
      </w:pPr>
      <w:r w:rsidRPr="007A0FD2">
        <w:rPr>
          <w:rStyle w:val="Referencafusnote"/>
          <w:rFonts w:ascii="Arial" w:hAnsi="Arial" w:cs="Arial"/>
          <w:lang w:val="hr-HR"/>
        </w:rPr>
        <w:footnoteRef/>
      </w:r>
      <w:r w:rsidRPr="007A0FD2">
        <w:rPr>
          <w:rFonts w:ascii="Arial" w:hAnsi="Arial" w:cs="Arial"/>
          <w:lang w:val="hr-HR"/>
        </w:rPr>
        <w:t xml:space="preserve"> Stupac Referenca se ne popunjava već su u njemu dane upute koja je vrsta dokaza podloga za davanje odgovora na pitanje.</w:t>
      </w:r>
    </w:p>
  </w:footnote>
  <w:footnote w:id="3">
    <w:p w:rsidR="00C74C73" w:rsidRDefault="00C74C73" w:rsidP="00DF792D">
      <w:pPr>
        <w:pStyle w:val="Tekstfusnote"/>
      </w:pPr>
      <w:r w:rsidRPr="00020917"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4">
    <w:p w:rsidR="00C74C73" w:rsidRDefault="00C74C73" w:rsidP="00DF792D">
      <w:pPr>
        <w:pStyle w:val="Tekstfusnote"/>
      </w:pPr>
      <w:r w:rsidRPr="00020917"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5">
    <w:p w:rsidR="00C74C73" w:rsidRDefault="00C74C73" w:rsidP="00DF792D">
      <w:pPr>
        <w:pStyle w:val="Tekstfusnote"/>
      </w:pPr>
      <w:r w:rsidRPr="00020917"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</w:footnote>
  <w:footnote w:id="6">
    <w:p w:rsidR="00C74C73" w:rsidRDefault="00C74C73" w:rsidP="00DF792D">
      <w:pPr>
        <w:pStyle w:val="Tekstfusnote"/>
      </w:pPr>
      <w:r w:rsidRPr="00020917"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7">
    <w:p w:rsidR="00C74C73" w:rsidRDefault="00C74C73" w:rsidP="00DF792D">
      <w:pPr>
        <w:pStyle w:val="Tekstfusnote"/>
      </w:pPr>
      <w:r w:rsidRPr="00020917"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</w:footnote>
  <w:footnote w:id="8">
    <w:p w:rsidR="00C74C73" w:rsidRDefault="00C74C73" w:rsidP="00DF792D">
      <w:pPr>
        <w:pStyle w:val="Tekstfusnote"/>
      </w:pPr>
      <w:r w:rsidRPr="00020917">
        <w:rPr>
          <w:rStyle w:val="Referencafusnote"/>
          <w:lang w:val="hr-HR"/>
        </w:rPr>
        <w:footnoteRef/>
      </w:r>
      <w:r w:rsidRPr="00020917"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  <w:footnote w:id="9">
    <w:p w:rsidR="00C74C73" w:rsidRPr="0017266E" w:rsidRDefault="00C74C73" w:rsidP="00DF792D">
      <w:pPr>
        <w:pStyle w:val="Tekstfusnote"/>
      </w:pPr>
      <w:r w:rsidRPr="00020917">
        <w:rPr>
          <w:rStyle w:val="Referencafusnote"/>
          <w:lang w:val="hr-HR"/>
        </w:rPr>
        <w:footnoteRef/>
      </w:r>
      <w:r w:rsidRPr="00020917">
        <w:rPr>
          <w:rFonts w:ascii="Arial" w:hAnsi="Arial" w:cs="Arial"/>
          <w:lang w:val="hr-HR"/>
        </w:rPr>
        <w:t>Za svaki djelomično potvrdan odgovor evidentirati slabost, odnosno nepravilnost u Planu otklanjanja slabosti i nepravilnosti</w:t>
      </w:r>
    </w:p>
    <w:p w:rsidR="00C74C73" w:rsidRDefault="00C74C73" w:rsidP="00DF792D">
      <w:pPr>
        <w:pStyle w:val="Tekstfusnote"/>
      </w:pPr>
      <w:r w:rsidRPr="0017266E">
        <w:rPr>
          <w:sz w:val="24"/>
          <w:szCs w:val="24"/>
          <w:vertAlign w:val="superscript"/>
          <w:lang w:val="hr-HR" w:eastAsia="hr-HR"/>
        </w:rPr>
        <w:footnoteRef/>
      </w:r>
    </w:p>
  </w:footnote>
  <w:footnote w:id="10">
    <w:p w:rsidR="00C74C73" w:rsidRDefault="00C74C73" w:rsidP="00DF792D">
      <w:pPr>
        <w:pStyle w:val="Tekstfusnote"/>
      </w:pPr>
      <w:r>
        <w:rPr>
          <w:rStyle w:val="Referencafusnote"/>
        </w:rPr>
        <w:footnoteRef/>
      </w:r>
      <w:r w:rsidRPr="00020917">
        <w:rPr>
          <w:rFonts w:ascii="Arial" w:hAnsi="Arial" w:cs="Arial"/>
          <w:lang w:val="hr-HR"/>
        </w:rPr>
        <w:t>Za svaki negativan odgovor evidentirati slabost, odnosno nepravilnost u Planu otklanjanja slabosti i nepravilnosti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EBB"/>
    <w:multiLevelType w:val="hybridMultilevel"/>
    <w:tmpl w:val="8F74FD66"/>
    <w:lvl w:ilvl="0" w:tplc="2B467A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C6CA9"/>
    <w:multiLevelType w:val="hybridMultilevel"/>
    <w:tmpl w:val="974EFCE4"/>
    <w:lvl w:ilvl="0" w:tplc="DAD019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D73D66"/>
    <w:multiLevelType w:val="hybridMultilevel"/>
    <w:tmpl w:val="40CC4410"/>
    <w:lvl w:ilvl="0" w:tplc="2E4C8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3172FF"/>
    <w:multiLevelType w:val="hybridMultilevel"/>
    <w:tmpl w:val="590EEFC6"/>
    <w:lvl w:ilvl="0" w:tplc="9B269E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92D"/>
    <w:rsid w:val="00150FF5"/>
    <w:rsid w:val="001C4FE8"/>
    <w:rsid w:val="002777EF"/>
    <w:rsid w:val="002F2965"/>
    <w:rsid w:val="003F32AB"/>
    <w:rsid w:val="006E7FDD"/>
    <w:rsid w:val="00714954"/>
    <w:rsid w:val="00723E9F"/>
    <w:rsid w:val="007C7DEB"/>
    <w:rsid w:val="00925276"/>
    <w:rsid w:val="00C74C73"/>
    <w:rsid w:val="00DF792D"/>
    <w:rsid w:val="00F91C45"/>
    <w:rsid w:val="00FD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DF792D"/>
  </w:style>
  <w:style w:type="paragraph" w:customStyle="1" w:styleId="tb-na16">
    <w:name w:val="tb-na16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rsid w:val="00DF792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DF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F79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DF79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79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DF792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ko-K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792D"/>
    <w:rPr>
      <w:rFonts w:ascii="Tahoma" w:eastAsia="Times New Roman" w:hAnsi="Tahoma" w:cs="Times New Roman"/>
      <w:sz w:val="16"/>
      <w:szCs w:val="16"/>
      <w:lang w:eastAsia="ko-KR"/>
    </w:rPr>
  </w:style>
  <w:style w:type="character" w:styleId="Hiperveza">
    <w:name w:val="Hyperlink"/>
    <w:basedOn w:val="Zadanifontodlomka"/>
    <w:uiPriority w:val="99"/>
    <w:rsid w:val="00DF792D"/>
    <w:rPr>
      <w:rFonts w:cs="Times New Roman"/>
      <w:color w:val="0000FF"/>
      <w:u w:val="single"/>
    </w:rPr>
  </w:style>
  <w:style w:type="paragraph" w:styleId="Tekstfusnote">
    <w:name w:val="footnote text"/>
    <w:aliases w:val="Fußnote,Footnote Text Char Char Char,Footnote Text Char Char"/>
    <w:basedOn w:val="Normal"/>
    <w:link w:val="TekstfusnoteChar"/>
    <w:uiPriority w:val="99"/>
    <w:rsid w:val="00DF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fusnoteChar">
    <w:name w:val="Tekst fusnote Char"/>
    <w:aliases w:val="Fußnote Char,Footnote Text Char Char Char Char,Footnote Text Char Char Char1"/>
    <w:basedOn w:val="Zadanifontodlomka"/>
    <w:link w:val="Tekstfusnote"/>
    <w:uiPriority w:val="99"/>
    <w:rsid w:val="00DF79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aliases w:val="BVI fnr"/>
    <w:basedOn w:val="Zadanifontodlomka"/>
    <w:uiPriority w:val="99"/>
    <w:rsid w:val="00DF792D"/>
    <w:rPr>
      <w:rFonts w:cs="Times New Roman"/>
      <w:vertAlign w:val="superscript"/>
    </w:rPr>
  </w:style>
  <w:style w:type="paragraph" w:customStyle="1" w:styleId="t-9-8">
    <w:name w:val="t-9-8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rsid w:val="00DF79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DF7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PodnojeChar">
    <w:name w:val="Podnožje Char"/>
    <w:basedOn w:val="Zadanifontodlomka"/>
    <w:link w:val="Podnoje"/>
    <w:uiPriority w:val="99"/>
    <w:rsid w:val="00DF792D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Brojstranice">
    <w:name w:val="page number"/>
    <w:basedOn w:val="Zadanifontodlomka"/>
    <w:uiPriority w:val="99"/>
    <w:rsid w:val="00DF792D"/>
    <w:rPr>
      <w:rFonts w:cs="Times New Roman"/>
    </w:rPr>
  </w:style>
  <w:style w:type="paragraph" w:customStyle="1" w:styleId="t-9-8-potpis">
    <w:name w:val="t-9-8-potpis"/>
    <w:basedOn w:val="Normal"/>
    <w:uiPriority w:val="99"/>
    <w:rsid w:val="00DF792D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uiPriority w:val="99"/>
    <w:rsid w:val="00DF792D"/>
    <w:rPr>
      <w:b/>
    </w:rPr>
  </w:style>
  <w:style w:type="paragraph" w:customStyle="1" w:styleId="Revision1">
    <w:name w:val="Revision1"/>
    <w:hidden/>
    <w:uiPriority w:val="99"/>
    <w:semiHidden/>
    <w:rsid w:val="00DF792D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rsid w:val="00DF7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ZaglavljeChar">
    <w:name w:val="Zaglavlje Char"/>
    <w:basedOn w:val="Zadanifontodlomka"/>
    <w:link w:val="Zaglavlje"/>
    <w:uiPriority w:val="99"/>
    <w:rsid w:val="00DF792D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Zadanifontodlomka"/>
    <w:uiPriority w:val="99"/>
    <w:rsid w:val="00DF79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F792D"/>
  </w:style>
  <w:style w:type="paragraph" w:customStyle="1" w:styleId="tb-na16">
    <w:name w:val="tb-na16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rsid w:val="00DF79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9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DF792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2D"/>
    <w:rPr>
      <w:rFonts w:ascii="Tahoma" w:eastAsia="Times New Roman" w:hAnsi="Tahoma" w:cs="Times New Roman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rsid w:val="00DF792D"/>
    <w:rPr>
      <w:rFonts w:cs="Times New Roman"/>
      <w:color w:val="0000FF"/>
      <w:u w:val="single"/>
    </w:rPr>
  </w:style>
  <w:style w:type="paragraph" w:styleId="FootnoteText">
    <w:name w:val="footnote text"/>
    <w:aliases w:val="Fußnote,Footnote Text Char Char Char,Footnote Text Char Char"/>
    <w:basedOn w:val="Normal"/>
    <w:link w:val="FootnoteTextChar"/>
    <w:uiPriority w:val="99"/>
    <w:rsid w:val="00DF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ußnote Char,Footnote Text Char Char Char Char,Footnote Text Char Char Char1"/>
    <w:basedOn w:val="DefaultParagraphFont"/>
    <w:link w:val="FootnoteText"/>
    <w:uiPriority w:val="99"/>
    <w:rsid w:val="00DF79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BVI fnr"/>
    <w:basedOn w:val="DefaultParagraphFont"/>
    <w:uiPriority w:val="99"/>
    <w:rsid w:val="00DF792D"/>
    <w:rPr>
      <w:rFonts w:cs="Times New Roman"/>
      <w:vertAlign w:val="superscript"/>
    </w:rPr>
  </w:style>
  <w:style w:type="paragraph" w:customStyle="1" w:styleId="t-9-8">
    <w:name w:val="t-9-8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uiPriority w:val="99"/>
    <w:rsid w:val="00DF79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DF7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DF792D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DF792D"/>
    <w:rPr>
      <w:rFonts w:cs="Times New Roman"/>
    </w:rPr>
  </w:style>
  <w:style w:type="paragraph" w:customStyle="1" w:styleId="t-9-8-potpis">
    <w:name w:val="t-9-8-potpis"/>
    <w:basedOn w:val="Normal"/>
    <w:uiPriority w:val="99"/>
    <w:rsid w:val="00DF792D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DF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uiPriority w:val="99"/>
    <w:rsid w:val="00DF792D"/>
    <w:rPr>
      <w:b/>
    </w:rPr>
  </w:style>
  <w:style w:type="paragraph" w:customStyle="1" w:styleId="Revision1">
    <w:name w:val="Revision1"/>
    <w:hidden/>
    <w:uiPriority w:val="99"/>
    <w:semiHidden/>
    <w:rsid w:val="00DF792D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DF79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DF792D"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uiPriority w:val="99"/>
    <w:rsid w:val="00DF79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C06F-2C62-4FEE-90F2-E04C7E4D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3622</Words>
  <Characters>20650</Characters>
  <Application>Microsoft Office Word</Application>
  <DocSecurity>0</DocSecurity>
  <Lines>172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24224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Direktorica</cp:lastModifiedBy>
  <cp:revision>7</cp:revision>
  <cp:lastPrinted>2015-02-26T11:37:00Z</cp:lastPrinted>
  <dcterms:created xsi:type="dcterms:W3CDTF">2015-02-19T08:57:00Z</dcterms:created>
  <dcterms:modified xsi:type="dcterms:W3CDTF">2015-02-26T11:43:00Z</dcterms:modified>
</cp:coreProperties>
</file>