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A7" w:rsidRPr="00C50843" w:rsidRDefault="00D2743A" w:rsidP="00D27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43">
        <w:rPr>
          <w:rFonts w:ascii="Times New Roman" w:hAnsi="Times New Roman" w:cs="Times New Roman"/>
          <w:b/>
          <w:sz w:val="28"/>
          <w:szCs w:val="28"/>
        </w:rPr>
        <w:t>ZDRAVA PREHRANA U ŠKOLI</w:t>
      </w:r>
    </w:p>
    <w:p w:rsidR="00D2743A" w:rsidRDefault="00D2743A" w:rsidP="00C50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Pravilne prehrambene navike, uz svakodnevnu tjelesnu aktivnost, predstavljaju preduvjet zdravoj kulturi življenja i okosnica su zdravlja organizma svakog pojedinca, bez obzira na dob i spol. Stoga je posebno važno usaditi pravilne prehrambene navike u što ranijoj životnoj dobi, kako bi se osigurao pravilan rast i razvoj djece, koja čine stupove društva. Moderan način života i prehrambeni trendovi s koj</w:t>
      </w:r>
      <w:r w:rsidR="0047114F">
        <w:rPr>
          <w:rFonts w:ascii="Times New Roman" w:hAnsi="Times New Roman" w:cs="Times New Roman"/>
          <w:sz w:val="24"/>
          <w:szCs w:val="24"/>
        </w:rPr>
        <w:t>ima se svakodnevno susrećemo u s</w:t>
      </w:r>
      <w:r>
        <w:rPr>
          <w:rFonts w:ascii="Times New Roman" w:hAnsi="Times New Roman" w:cs="Times New Roman"/>
          <w:sz w:val="24"/>
          <w:szCs w:val="24"/>
        </w:rPr>
        <w:t>vij</w:t>
      </w:r>
      <w:r w:rsidR="004711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tu, Europi, a sve više i u našoj zemlji, rezultiraju poražava</w:t>
      </w:r>
      <w:r w:rsidR="00302A30">
        <w:rPr>
          <w:rFonts w:ascii="Times New Roman" w:hAnsi="Times New Roman" w:cs="Times New Roman"/>
          <w:sz w:val="24"/>
          <w:szCs w:val="24"/>
        </w:rPr>
        <w:t>jućom statistikom prema kojoj se</w:t>
      </w:r>
      <w:r>
        <w:rPr>
          <w:rFonts w:ascii="Times New Roman" w:hAnsi="Times New Roman" w:cs="Times New Roman"/>
          <w:sz w:val="24"/>
          <w:szCs w:val="24"/>
        </w:rPr>
        <w:t xml:space="preserve"> pretilost i bolesti v</w:t>
      </w:r>
      <w:r w:rsidR="00302A30">
        <w:rPr>
          <w:rFonts w:ascii="Times New Roman" w:hAnsi="Times New Roman" w:cs="Times New Roman"/>
          <w:sz w:val="24"/>
          <w:szCs w:val="24"/>
        </w:rPr>
        <w:t>ezane uz nju šire sve više. D</w:t>
      </w:r>
      <w:r>
        <w:rPr>
          <w:rFonts w:ascii="Times New Roman" w:hAnsi="Times New Roman" w:cs="Times New Roman"/>
          <w:sz w:val="24"/>
          <w:szCs w:val="24"/>
        </w:rPr>
        <w:t>anas govorimo o epidemiji pretilosti, a bolesti poput hipertenzije, atreoskleroze, dijabetesa, i me</w:t>
      </w:r>
      <w:r w:rsidR="00CF3427">
        <w:rPr>
          <w:rFonts w:ascii="Times New Roman" w:hAnsi="Times New Roman" w:cs="Times New Roman"/>
          <w:sz w:val="24"/>
          <w:szCs w:val="24"/>
        </w:rPr>
        <w:t>taboličkog sindroma dio su svakodnevice.</w:t>
      </w:r>
    </w:p>
    <w:p w:rsidR="00CF3427" w:rsidRDefault="00CF3427" w:rsidP="00C50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Djeca su najveće blago društva, i poznato je da na njima ostaje svijet. Zato je jako važno održati zdravlje djece kako bi ona jednoga dana postala zdrave odrasle osobe i kvalitetno radno sposobno stanovništvo. Na žalost, epidemiološke studije i podatci dobiveni u njima, pokazuju kako sve mlađa populacija oboljeva od kroničnih bolesti vezanih uz nepravilnu prehranu i prekomjeran unos energije. Prekomjerna tjelesna masa tako predstavlja javnozdravstveni problem s kojim je potrebno suočiti se što prije. Najnovija istraživanja stanja uhranjenosti hrvatske djece školske dobi ukazala su na postojanje sekularnog trenda, prema kojem su djeca iste dobi viša i teža u odnosu na svoje vršnjake u razdoblju 80-ih godina prošloga stoljeća. Osim toga, u Hrvats</w:t>
      </w:r>
      <w:r w:rsidR="00E6584D">
        <w:rPr>
          <w:rFonts w:ascii="Times New Roman" w:hAnsi="Times New Roman" w:cs="Times New Roman"/>
          <w:sz w:val="24"/>
          <w:szCs w:val="24"/>
        </w:rPr>
        <w:t>koj se bilježi i zabrinjavajuć nesrazmjer u porastu tjelesne mase u odnosu na tjelesnu visinu, s</w:t>
      </w:r>
      <w:r w:rsidR="00302A30">
        <w:rPr>
          <w:rFonts w:ascii="Times New Roman" w:hAnsi="Times New Roman" w:cs="Times New Roman"/>
          <w:sz w:val="24"/>
          <w:szCs w:val="24"/>
        </w:rPr>
        <w:t>a značajnim porastom udjela djec</w:t>
      </w:r>
      <w:r w:rsidR="00E6584D">
        <w:rPr>
          <w:rFonts w:ascii="Times New Roman" w:hAnsi="Times New Roman" w:cs="Times New Roman"/>
          <w:sz w:val="24"/>
          <w:szCs w:val="24"/>
        </w:rPr>
        <w:t>e s povećanom tjelesnom masom, odnosno pretilošću. Dječ</w:t>
      </w:r>
      <w:r w:rsidR="00302A30">
        <w:rPr>
          <w:rFonts w:ascii="Times New Roman" w:hAnsi="Times New Roman" w:cs="Times New Roman"/>
          <w:sz w:val="24"/>
          <w:szCs w:val="24"/>
        </w:rPr>
        <w:t>i</w:t>
      </w:r>
      <w:r w:rsidR="00E6584D">
        <w:rPr>
          <w:rFonts w:ascii="Times New Roman" w:hAnsi="Times New Roman" w:cs="Times New Roman"/>
          <w:sz w:val="24"/>
          <w:szCs w:val="24"/>
        </w:rPr>
        <w:t xml:space="preserve">ja pretilost povećava rizik nastanka složenih metaboličkih poremećaja u čijoj je osnovi inzulinska rezistencija te rizik razvoja šećerne bolesti neovisne o inzulinu (dijabetes tip II), hipertenzije, hiperlipidemije, bolesti jetre i bubrega, bolesti štitnjače, poremećaja reproduktivne funkcije, kardiovaskularne bolesti i pretilosti u odrasloj dobi. </w:t>
      </w:r>
    </w:p>
    <w:p w:rsidR="00B70A63" w:rsidRPr="00D2743A" w:rsidRDefault="00B70A63" w:rsidP="00D2743A">
      <w:pPr>
        <w:rPr>
          <w:rFonts w:ascii="Times New Roman" w:hAnsi="Times New Roman" w:cs="Times New Roman"/>
          <w:sz w:val="24"/>
          <w:szCs w:val="24"/>
        </w:rPr>
      </w:pPr>
      <w:r w:rsidRPr="00B70A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53100" cy="3362325"/>
            <wp:effectExtent l="57150" t="57150" r="57150" b="66675"/>
            <wp:docPr id="1" name="Picture 1" descr="C:\Documents and Settings\Margita\My Documents\My Pictures\x12451267195211056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Margita\My Documents\My Pictures\x1245126719521105603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D2743A" w:rsidRDefault="00521CF0" w:rsidP="00C50843">
      <w:pPr>
        <w:jc w:val="both"/>
      </w:pPr>
      <w:r>
        <w:lastRenderedPageBreak/>
        <w:t xml:space="preserve">Prema HBSC studiji provedenoj u Hrvatskoj 2010. godine, pokazalo se kako djeca rijetko jedu zajutrak, 66% ispitanih ne jede voće svakodnevno, a čak 76% ne jede povrće svaki dan. Školska djeca jedu previše ugljikohidrata, 26% ih svaki dan ispija slatka pića, dok 35% ispitane djece jednom ili više puta dnevno jede slatkiše.  </w:t>
      </w:r>
    </w:p>
    <w:p w:rsidR="007A3FCC" w:rsidRDefault="00521CF0" w:rsidP="00C50843">
      <w:pPr>
        <w:jc w:val="both"/>
      </w:pPr>
      <w:r>
        <w:t xml:space="preserve">Slični su trendovi i u Bjelovaru. U istraživanju provedenom </w:t>
      </w:r>
      <w:r w:rsidR="00C63986">
        <w:t xml:space="preserve">u ožujku 2012. g. </w:t>
      </w:r>
      <w:r>
        <w:t xml:space="preserve">među 501 učenikom bjelovarskih osnovnih škola utvrđeno je da oko 32% ispitanika uopće ne jede zajutrak, oko 40% ispitanih ne konzumira voće svaki dan, a oko 48% </w:t>
      </w:r>
      <w:r w:rsidR="00C63986">
        <w:t xml:space="preserve">njih ne konzumira povrće svaki dan. Taj je trend češći među dječacima. Većina ispitanika, oko 75-80% svkodnevno i ponekad konzumira slatkiše, grickalice i brzu hranu, dok oko 45% ispitanih dnevno popije tek jednu šalicu mlijeka i mliječnih proizvoda. Što se tiče tjelesne aktivnosti, </w:t>
      </w:r>
      <w:r w:rsidR="00D1561A">
        <w:t>čak 17</w:t>
      </w:r>
      <w:r w:rsidR="00C63986">
        <w:t xml:space="preserve">% ispitanika njome se uopće ne bavi, što je zaista zabrinjavajuće. </w:t>
      </w:r>
    </w:p>
    <w:p w:rsidR="007A3FCC" w:rsidRDefault="007A3FCC">
      <w:r w:rsidRPr="007A3FCC">
        <w:rPr>
          <w:noProof/>
          <w:lang w:eastAsia="hr-HR"/>
        </w:rPr>
        <w:drawing>
          <wp:inline distT="0" distB="0" distL="0" distR="0">
            <wp:extent cx="5760720" cy="2706505"/>
            <wp:effectExtent l="19050" t="0" r="11430" b="0"/>
            <wp:docPr id="39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3FCC" w:rsidRDefault="007A3FCC" w:rsidP="007A3FC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 1. Tjelesna aktivnost s obzirom na spol</w:t>
      </w:r>
    </w:p>
    <w:p w:rsidR="00521CF0" w:rsidRDefault="00C63986">
      <w:r>
        <w:t>Antropološki podatci dobiveni ovim istraživanjem prikazani su u tablici:</w:t>
      </w:r>
    </w:p>
    <w:p w:rsidR="00C63986" w:rsidRPr="000B03D9" w:rsidRDefault="00C63986" w:rsidP="00C63986">
      <w:pPr>
        <w:pStyle w:val="Opisslike"/>
        <w:keepNext/>
        <w:ind w:left="2124"/>
        <w:rPr>
          <w:rFonts w:ascii="Times New Roman" w:hAnsi="Times New Roman"/>
          <w:sz w:val="24"/>
          <w:szCs w:val="24"/>
        </w:rPr>
      </w:pPr>
      <w:r w:rsidRPr="000B03D9">
        <w:rPr>
          <w:rFonts w:ascii="Times New Roman" w:hAnsi="Times New Roman"/>
          <w:sz w:val="24"/>
          <w:szCs w:val="24"/>
        </w:rPr>
        <w:t xml:space="preserve">Tablica </w:t>
      </w:r>
      <w:r w:rsidR="009F0BE6" w:rsidRPr="000B03D9">
        <w:rPr>
          <w:rFonts w:ascii="Times New Roman" w:hAnsi="Times New Roman"/>
          <w:sz w:val="24"/>
          <w:szCs w:val="24"/>
        </w:rPr>
        <w:fldChar w:fldCharType="begin"/>
      </w:r>
      <w:r w:rsidR="008651FB" w:rsidRPr="000B03D9">
        <w:rPr>
          <w:rFonts w:ascii="Times New Roman" w:hAnsi="Times New Roman"/>
          <w:sz w:val="24"/>
          <w:szCs w:val="24"/>
        </w:rPr>
        <w:instrText xml:space="preserve"> SEQ Tablica \* ARABIC </w:instrText>
      </w:r>
      <w:r w:rsidR="009F0BE6" w:rsidRPr="000B03D9">
        <w:rPr>
          <w:rFonts w:ascii="Times New Roman" w:hAnsi="Times New Roman"/>
          <w:sz w:val="24"/>
          <w:szCs w:val="24"/>
        </w:rPr>
        <w:fldChar w:fldCharType="separate"/>
      </w:r>
      <w:r w:rsidR="007A3FCC">
        <w:rPr>
          <w:rFonts w:ascii="Times New Roman" w:hAnsi="Times New Roman"/>
          <w:noProof/>
          <w:sz w:val="24"/>
          <w:szCs w:val="24"/>
        </w:rPr>
        <w:t>1</w:t>
      </w:r>
      <w:r w:rsidR="009F0BE6" w:rsidRPr="000B03D9">
        <w:rPr>
          <w:rFonts w:ascii="Times New Roman" w:hAnsi="Times New Roman"/>
          <w:sz w:val="24"/>
          <w:szCs w:val="24"/>
        </w:rPr>
        <w:fldChar w:fldCharType="end"/>
      </w:r>
      <w:r w:rsidRPr="000B03D9">
        <w:rPr>
          <w:rFonts w:ascii="Times New Roman" w:hAnsi="Times New Roman"/>
          <w:sz w:val="24"/>
          <w:szCs w:val="24"/>
        </w:rPr>
        <w:t>. Dob i antropometrijski parametri prema spolu</w:t>
      </w:r>
    </w:p>
    <w:tbl>
      <w:tblPr>
        <w:tblW w:w="8135" w:type="dxa"/>
        <w:jc w:val="center"/>
        <w:tblInd w:w="108" w:type="dxa"/>
        <w:tblLook w:val="04A0"/>
      </w:tblPr>
      <w:tblGrid>
        <w:gridCol w:w="1440"/>
        <w:gridCol w:w="1841"/>
        <w:gridCol w:w="717"/>
        <w:gridCol w:w="717"/>
        <w:gridCol w:w="1866"/>
        <w:gridCol w:w="777"/>
        <w:gridCol w:w="777"/>
      </w:tblGrid>
      <w:tr w:rsidR="00C63986" w:rsidRPr="00DA24F3" w:rsidTr="00342C87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bCs/>
                <w:color w:val="000000"/>
                <w:lang w:eastAsia="hr-HR"/>
              </w:rPr>
              <w:t>muškarci(n=278)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bCs/>
                <w:color w:val="000000"/>
                <w:lang w:eastAsia="hr-HR"/>
              </w:rPr>
              <w:t>žene (n=223)</w:t>
            </w:r>
          </w:p>
        </w:tc>
      </w:tr>
      <w:tr w:rsidR="00C63986" w:rsidRPr="00DA24F3" w:rsidTr="00342C87">
        <w:trPr>
          <w:trHeight w:val="3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color w:val="000000"/>
                <w:lang w:eastAsia="hr-HR"/>
              </w:rPr>
              <w:t>parametar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color w:val="000000"/>
                <w:lang w:eastAsia="hr-HR"/>
              </w:rPr>
              <w:t>x±SD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color w:val="000000"/>
                <w:lang w:eastAsia="hr-HR"/>
              </w:rPr>
              <w:t>min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color w:val="000000"/>
                <w:lang w:eastAsia="hr-HR"/>
              </w:rPr>
              <w:t>max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color w:val="000000"/>
                <w:lang w:eastAsia="hr-HR"/>
              </w:rPr>
              <w:t>x±SD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color w:val="000000"/>
                <w:lang w:eastAsia="hr-HR"/>
              </w:rPr>
              <w:t>min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b/>
                <w:color w:val="000000"/>
                <w:lang w:eastAsia="hr-HR"/>
              </w:rPr>
              <w:t>max</w:t>
            </w:r>
          </w:p>
        </w:tc>
      </w:tr>
      <w:tr w:rsidR="00C63986" w:rsidRPr="00DA24F3" w:rsidTr="00342C87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dob (godine)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11,52 ± 0,95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11,53 ± 0,84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13</w:t>
            </w:r>
          </w:p>
        </w:tc>
      </w:tr>
      <w:tr w:rsidR="00C63986" w:rsidRPr="00DA24F3" w:rsidTr="00342C87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TM (kg)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48,52 ± 11,22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90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45,82 ± 8,49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70</w:t>
            </w:r>
          </w:p>
        </w:tc>
      </w:tr>
      <w:tr w:rsidR="00C63986" w:rsidRPr="00DA24F3" w:rsidTr="00342C87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TV (cm)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153,32 ± 10,44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151,85 ± 9,36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170</w:t>
            </w:r>
          </w:p>
        </w:tc>
      </w:tr>
      <w:tr w:rsidR="00C63986" w:rsidRPr="00DA24F3" w:rsidTr="00342C87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BMI (kg/m2)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20,46 ± 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13,78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30,07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19,77 ± 2,54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13,88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86" w:rsidRPr="00DA24F3" w:rsidRDefault="00C63986" w:rsidP="00342C8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A24F3">
              <w:rPr>
                <w:rFonts w:eastAsia="Times New Roman" w:cs="Calibri"/>
                <w:color w:val="000000"/>
                <w:lang w:eastAsia="hr-HR"/>
              </w:rPr>
              <w:t>27,34</w:t>
            </w:r>
          </w:p>
        </w:tc>
      </w:tr>
    </w:tbl>
    <w:p w:rsidR="00C63986" w:rsidRDefault="00C63986">
      <w:pPr>
        <w:rPr>
          <w:rFonts w:ascii="Times New Roman" w:eastAsia="Calibri" w:hAnsi="Times New Roman" w:cs="Times New Roman"/>
          <w:sz w:val="24"/>
          <w:szCs w:val="24"/>
        </w:rPr>
      </w:pPr>
    </w:p>
    <w:p w:rsidR="007A3FCC" w:rsidRDefault="00C63986" w:rsidP="00C5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prvi pogled, ove brojke nisu zabrinjavajući, no pogledaju li se percentilne krivulje prema kojima se određuje uhranjenost djece školske dobi, </w:t>
      </w:r>
      <w:r w:rsidR="004905CC">
        <w:rPr>
          <w:rFonts w:ascii="Times New Roman" w:eastAsia="Calibri" w:hAnsi="Times New Roman" w:cs="Times New Roman"/>
          <w:sz w:val="24"/>
          <w:szCs w:val="24"/>
        </w:rPr>
        <w:t xml:space="preserve">dolazi se do zaključka kako su </w:t>
      </w:r>
      <w:r w:rsidR="00BB2058">
        <w:rPr>
          <w:rFonts w:ascii="Times New Roman" w:eastAsia="Calibri" w:hAnsi="Times New Roman" w:cs="Times New Roman"/>
          <w:sz w:val="24"/>
          <w:szCs w:val="24"/>
        </w:rPr>
        <w:t>bjelovarski osnovnoškolci na 8</w:t>
      </w:r>
      <w:r w:rsidR="004905CC">
        <w:rPr>
          <w:rFonts w:ascii="Times New Roman" w:eastAsia="Calibri" w:hAnsi="Times New Roman" w:cs="Times New Roman"/>
          <w:sz w:val="24"/>
          <w:szCs w:val="24"/>
        </w:rPr>
        <w:t>5. percentilu, koji je gornja granica prema povišenoj tjelesnoj masi.</w:t>
      </w:r>
    </w:p>
    <w:p w:rsidR="007A3FCC" w:rsidRDefault="007A3FCC">
      <w:pPr>
        <w:rPr>
          <w:rFonts w:ascii="Times New Roman" w:eastAsia="Calibri" w:hAnsi="Times New Roman" w:cs="Times New Roman"/>
          <w:sz w:val="24"/>
          <w:szCs w:val="24"/>
        </w:rPr>
      </w:pPr>
    </w:p>
    <w:p w:rsidR="000B03D9" w:rsidRPr="000B03D9" w:rsidRDefault="000B03D9">
      <w:pPr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0B03D9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lastRenderedPageBreak/>
        <w:t>Tablica 2. Kategorizacija stupnja uhranjenosti djece</w:t>
      </w:r>
    </w:p>
    <w:tbl>
      <w:tblPr>
        <w:tblW w:w="12960" w:type="dxa"/>
        <w:tblInd w:w="-1417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BB2058" w:rsidRPr="00BB2058" w:rsidTr="00BB2058">
        <w:trPr>
          <w:trHeight w:val="67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STUPANJ  UHRANJENOSTI</w:t>
            </w:r>
            <w:r w:rsidRPr="00BB2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PERCENTILI</w:t>
            </w:r>
            <w:r w:rsidRPr="00BB2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B2058" w:rsidRPr="00BB2058" w:rsidTr="00BB2058">
        <w:trPr>
          <w:trHeight w:val="674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>Pothranjenost</w:t>
            </w:r>
            <w:r w:rsidRPr="00BB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 5 </w:t>
            </w:r>
          </w:p>
        </w:tc>
      </w:tr>
      <w:tr w:rsidR="00BB2058" w:rsidRPr="00BB2058" w:rsidTr="00BB2058">
        <w:trPr>
          <w:trHeight w:val="67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>Adekvatna tjelesna masa</w:t>
            </w:r>
            <w:r w:rsidRPr="00BB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>5-85</w:t>
            </w:r>
            <w:r w:rsidRPr="00BB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058" w:rsidRPr="00BB2058" w:rsidTr="00BB2058">
        <w:trPr>
          <w:trHeight w:val="67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>Povećana tjelesna masa</w:t>
            </w:r>
            <w:r w:rsidRPr="00BB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>85-95</w:t>
            </w:r>
            <w:r w:rsidRPr="00BB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2058" w:rsidRPr="00BB2058" w:rsidTr="00BB2058">
        <w:trPr>
          <w:trHeight w:val="67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>Pretilost</w:t>
            </w:r>
            <w:r w:rsidRPr="00BB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C3A" w:rsidRPr="00BB2058" w:rsidRDefault="00BB2058" w:rsidP="00BB2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058">
              <w:rPr>
                <w:rFonts w:ascii="Times New Roman" w:eastAsia="Calibri" w:hAnsi="Times New Roman" w:cs="Times New Roman"/>
                <w:sz w:val="24"/>
                <w:szCs w:val="24"/>
              </w:rPr>
              <w:t>&gt; 95</w:t>
            </w:r>
            <w:r w:rsidRPr="00BB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B2058" w:rsidRDefault="00BB2058">
      <w:pPr>
        <w:rPr>
          <w:rFonts w:ascii="Times New Roman" w:eastAsia="Calibri" w:hAnsi="Times New Roman" w:cs="Times New Roman"/>
          <w:sz w:val="24"/>
          <w:szCs w:val="24"/>
        </w:rPr>
      </w:pPr>
    </w:p>
    <w:p w:rsidR="00D1561A" w:rsidRDefault="00D1561A" w:rsidP="00C5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Inače, glavni zaključci spomenute studije, doneseni između ostaloga i na temelju analize podataka dobivenih od učenika II.OŠ Bjelovar, su sljedeći:</w:t>
      </w:r>
    </w:p>
    <w:p w:rsidR="00936BBA" w:rsidRPr="00D1561A" w:rsidRDefault="007A3FCC" w:rsidP="00C5084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1A">
        <w:rPr>
          <w:rFonts w:ascii="Times New Roman" w:eastAsia="Calibri" w:hAnsi="Times New Roman" w:cs="Times New Roman"/>
          <w:sz w:val="24"/>
          <w:szCs w:val="24"/>
        </w:rPr>
        <w:t>Većina adolescenata je adekvatne tjelesne mase, no njihove prehrambene navike nisu u skladu s preporukama</w:t>
      </w:r>
    </w:p>
    <w:p w:rsidR="00936BBA" w:rsidRPr="00D1561A" w:rsidRDefault="007A3FCC" w:rsidP="00C5084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1A">
        <w:rPr>
          <w:rFonts w:ascii="Times New Roman" w:eastAsia="Calibri" w:hAnsi="Times New Roman" w:cs="Times New Roman"/>
          <w:sz w:val="24"/>
          <w:szCs w:val="24"/>
        </w:rPr>
        <w:t>Adolescenti jedu premalo voća i povrća, mliječnih proizvoda, i preskaču doručak</w:t>
      </w:r>
    </w:p>
    <w:p w:rsidR="00936BBA" w:rsidRPr="00D1561A" w:rsidRDefault="00D1561A" w:rsidP="00C5084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Među učenicima je prisutne u</w:t>
      </w:r>
      <w:r w:rsidR="007A3FCC" w:rsidRPr="00D1561A">
        <w:rPr>
          <w:rFonts w:ascii="Times New Roman" w:eastAsia="Calibri" w:hAnsi="Times New Roman" w:cs="Times New Roman"/>
          <w:sz w:val="24"/>
          <w:szCs w:val="24"/>
        </w:rPr>
        <w:t>čestala konzumacija brze hrane, slatkiša, grickalica i gaziranih napitaka</w:t>
      </w:r>
    </w:p>
    <w:p w:rsidR="00936BBA" w:rsidRPr="00D1561A" w:rsidRDefault="007A3FCC" w:rsidP="00C5084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1A">
        <w:rPr>
          <w:rFonts w:ascii="Times New Roman" w:eastAsia="Calibri" w:hAnsi="Times New Roman" w:cs="Times New Roman"/>
          <w:sz w:val="24"/>
          <w:szCs w:val="24"/>
        </w:rPr>
        <w:t>Oko 29% ispitanika ponekad se bavi tjelesnom aktivnošću, a gotovo 17% to ne čini uopće</w:t>
      </w:r>
    </w:p>
    <w:p w:rsidR="00936BBA" w:rsidRPr="00D1561A" w:rsidRDefault="007A3FCC" w:rsidP="00C5084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1A">
        <w:rPr>
          <w:rFonts w:ascii="Times New Roman" w:eastAsia="Calibri" w:hAnsi="Times New Roman" w:cs="Times New Roman"/>
          <w:sz w:val="24"/>
          <w:szCs w:val="24"/>
        </w:rPr>
        <w:t xml:space="preserve">Ispitanici koji se bave sportom imaju pravilnije prehrambene navike </w:t>
      </w:r>
    </w:p>
    <w:p w:rsidR="00D1561A" w:rsidRPr="00D1561A" w:rsidRDefault="00D1561A" w:rsidP="00C50843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561A">
        <w:rPr>
          <w:rFonts w:ascii="Times New Roman" w:hAnsi="Times New Roman"/>
          <w:sz w:val="24"/>
          <w:szCs w:val="24"/>
        </w:rPr>
        <w:t>Jelovnici u školama nisu u skladu s preporukama, te se hitno trebaju promijeniti</w:t>
      </w:r>
    </w:p>
    <w:p w:rsidR="00ED7769" w:rsidRDefault="004905CC" w:rsidP="00C5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Ono što je također važno uzeti u obzir jest činjenica kako djeca u školi provedu većinu svojega vremena gdje jedu i piju ono što im je na raspolaganju.</w:t>
      </w:r>
      <w:r w:rsidR="00ED7769">
        <w:rPr>
          <w:rFonts w:ascii="Times New Roman" w:eastAsia="Calibri" w:hAnsi="Times New Roman" w:cs="Times New Roman"/>
          <w:sz w:val="24"/>
          <w:szCs w:val="24"/>
        </w:rPr>
        <w:t xml:space="preserve"> Oko 70% djece svakodnevno konzumira 3 glavna obroka, dok dobar dio njih jede tek jedan ili dva glavna, kuhana obroka.</w:t>
      </w:r>
    </w:p>
    <w:p w:rsidR="00ED7769" w:rsidRDefault="00ED7769">
      <w:pPr>
        <w:rPr>
          <w:rFonts w:ascii="Times New Roman" w:eastAsia="Calibri" w:hAnsi="Times New Roman" w:cs="Times New Roman"/>
          <w:sz w:val="24"/>
          <w:szCs w:val="24"/>
        </w:rPr>
      </w:pPr>
      <w:r w:rsidRPr="00ED776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667375" cy="3362325"/>
            <wp:effectExtent l="19050" t="0" r="9525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7769" w:rsidRPr="001310A8" w:rsidRDefault="007A3FCC" w:rsidP="00ED776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 2</w:t>
      </w:r>
      <w:r w:rsidR="00ED7769" w:rsidRPr="001310A8">
        <w:rPr>
          <w:rFonts w:ascii="Times New Roman" w:hAnsi="Times New Roman"/>
          <w:sz w:val="24"/>
          <w:szCs w:val="24"/>
        </w:rPr>
        <w:t>. Broj glavnih obroka na dan s obzirom na spol</w:t>
      </w:r>
    </w:p>
    <w:p w:rsidR="004905CC" w:rsidRDefault="004905CC" w:rsidP="00C5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Zato je važno da u školama bude dostupna ukusna i nutritivno visokovrijedna hrana, nužna za adekvatan rast i razvoj, ali i usvajanje pravilnih prehrambenih navika i prehrane kod učenika.</w:t>
      </w:r>
      <w:r w:rsidR="00ED77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Bjelovarski ispitanici, njih oko 49% hrani se u školskoj kuhinji, te je važno da obroci dostupni ondje budu kvalitetni.</w:t>
      </w:r>
    </w:p>
    <w:p w:rsidR="004905CC" w:rsidRDefault="004905CC" w:rsidP="004905CC">
      <w:pPr>
        <w:jc w:val="center"/>
        <w:rPr>
          <w:rFonts w:ascii="Times New Roman" w:hAnsi="Times New Roman"/>
          <w:sz w:val="24"/>
          <w:szCs w:val="24"/>
        </w:rPr>
      </w:pPr>
      <w:r w:rsidRPr="004905CC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0720" cy="2657475"/>
            <wp:effectExtent l="19050" t="0" r="11430" b="0"/>
            <wp:docPr id="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A3FCC">
        <w:rPr>
          <w:rFonts w:ascii="Times New Roman" w:eastAsia="Calibri" w:hAnsi="Times New Roman" w:cs="Times New Roman"/>
          <w:sz w:val="24"/>
          <w:szCs w:val="24"/>
        </w:rPr>
        <w:t>Graf 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Odabir obroka u školi s obziro</w:t>
      </w:r>
      <w:r w:rsidR="000B03D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na spol</w:t>
      </w:r>
    </w:p>
    <w:p w:rsidR="00056E0A" w:rsidRPr="004905CC" w:rsidRDefault="000B03D9" w:rsidP="00C5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žalost, postojeći školski jelovnici nisu adekvatni u nutritivnim i energetskom smislu, te ne prate načela prehrambenih smjernica kao što je piramida pravilne prehrane. Uzme li se u obzir kako je zajutrak najvažniji obrok dana koji djeca često ne jedu kod kuće, nužno je osigurati energiju i potrebne nutrijente u obrocima koji se nude u školskoj kuhinji.</w:t>
      </w:r>
      <w:r w:rsidR="00056E0A">
        <w:rPr>
          <w:rFonts w:ascii="Times New Roman" w:eastAsia="Calibri" w:hAnsi="Times New Roman" w:cs="Times New Roman"/>
          <w:sz w:val="24"/>
          <w:szCs w:val="24"/>
        </w:rPr>
        <w:t xml:space="preserve"> Neadekvatnim prehrambenim navikama osnovnoškolaca dodatno doprinosi i postavljanje različitih automata </w:t>
      </w:r>
      <w:r w:rsidR="00056E0A">
        <w:rPr>
          <w:rFonts w:ascii="Times New Roman" w:eastAsia="Calibri" w:hAnsi="Times New Roman" w:cs="Times New Roman"/>
          <w:sz w:val="24"/>
          <w:szCs w:val="24"/>
        </w:rPr>
        <w:lastRenderedPageBreak/>
        <w:t>za slatkiše i gazirane napitke u prostore škole, a koji svojom ponudom nikako nisu u sklad</w:t>
      </w:r>
      <w:r w:rsidR="00ED7769">
        <w:rPr>
          <w:rFonts w:ascii="Times New Roman" w:eastAsia="Calibri" w:hAnsi="Times New Roman" w:cs="Times New Roman"/>
          <w:sz w:val="24"/>
          <w:szCs w:val="24"/>
        </w:rPr>
        <w:t>u s načelima pravilne prehrane. Tako bi obrok koji se daje djeci u osnovnoj školi trebao sastojati od integralnih žitarica, mlijeka</w:t>
      </w:r>
      <w:r w:rsidR="00BA3C26">
        <w:rPr>
          <w:rFonts w:ascii="Times New Roman" w:eastAsia="Calibri" w:hAnsi="Times New Roman" w:cs="Times New Roman"/>
          <w:sz w:val="24"/>
          <w:szCs w:val="24"/>
        </w:rPr>
        <w:t xml:space="preserve"> i mliječnih proizvoda, te voća, i tako osigurati nutrijente potrebne za koncentraciju na satu i učenje.</w:t>
      </w:r>
    </w:p>
    <w:p w:rsidR="000B03D9" w:rsidRDefault="000B03D9" w:rsidP="00C508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Analiza postojećih jelovnika koji se nalaze na internetskim stranicama bjelovarskih osnovnih škola pokazala je kako više od 50% ponuđenih jela ne zadovoljava kriterije adekvatnog jutarnjeg obroka. To je zorno prikazano u tablici 3. koja prikazuje neka od jela koja su se nalazila u jelovnicima osnovnoškolskih kuhinja u vrijeme provođenja spomenutog istraživanja. </w:t>
      </w:r>
    </w:p>
    <w:p w:rsidR="000B03D9" w:rsidRPr="005E23A8" w:rsidRDefault="000B03D9" w:rsidP="000B03D9">
      <w:pPr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5E23A8">
        <w:rPr>
          <w:rFonts w:ascii="Times New Roman" w:hAnsi="Times New Roman"/>
          <w:b/>
          <w:color w:val="4F81BD" w:themeColor="accent1"/>
          <w:sz w:val="24"/>
          <w:szCs w:val="24"/>
        </w:rPr>
        <w:t>Tablica 3. Usporedba kom</w:t>
      </w:r>
      <w:r w:rsidR="00B17777" w:rsidRPr="005E23A8">
        <w:rPr>
          <w:rFonts w:ascii="Times New Roman" w:hAnsi="Times New Roman"/>
          <w:b/>
          <w:color w:val="4F81BD" w:themeColor="accent1"/>
          <w:sz w:val="24"/>
          <w:szCs w:val="24"/>
        </w:rPr>
        <w:t>pletnog obroka i obroka u školskoj kuhinji</w:t>
      </w:r>
    </w:p>
    <w:tbl>
      <w:tblPr>
        <w:tblW w:w="12940" w:type="dxa"/>
        <w:tblInd w:w="-1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1417"/>
        <w:gridCol w:w="1118"/>
        <w:gridCol w:w="2216"/>
        <w:gridCol w:w="1060"/>
        <w:gridCol w:w="1163"/>
        <w:gridCol w:w="2881"/>
      </w:tblGrid>
      <w:tr w:rsidR="000B03D9" w:rsidRPr="000B03D9" w:rsidTr="00B17777">
        <w:trPr>
          <w:trHeight w:val="59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sz w:val="24"/>
                <w:szCs w:val="24"/>
                <w:u w:val="single"/>
              </w:rPr>
              <w:t>JELOVNIK</w:t>
            </w:r>
            <w:r w:rsidRPr="000B03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sz w:val="24"/>
                <w:szCs w:val="24"/>
                <w:u w:val="single"/>
              </w:rPr>
              <w:t>PROTEINI</w:t>
            </w:r>
            <w:r w:rsidRPr="000B03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sz w:val="24"/>
                <w:szCs w:val="24"/>
                <w:u w:val="single"/>
              </w:rPr>
              <w:t>MASTI</w:t>
            </w:r>
            <w:r w:rsidRPr="000B03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sz w:val="24"/>
                <w:szCs w:val="24"/>
                <w:u w:val="single"/>
              </w:rPr>
              <w:t>UGLJIKOHIDRATI</w:t>
            </w:r>
            <w:r w:rsidRPr="000B03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sz w:val="24"/>
                <w:szCs w:val="24"/>
                <w:u w:val="single"/>
              </w:rPr>
              <w:t>VOĆE</w:t>
            </w:r>
            <w:r w:rsidRPr="000B03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sz w:val="24"/>
                <w:szCs w:val="24"/>
                <w:u w:val="single"/>
              </w:rPr>
              <w:t>POVRĆE</w:t>
            </w:r>
            <w:r w:rsidRPr="000B03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sz w:val="24"/>
                <w:szCs w:val="24"/>
                <w:u w:val="single"/>
              </w:rPr>
              <w:t>PREHRAMBENA VLAKNA</w:t>
            </w:r>
            <w:r w:rsidRPr="000B03D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0B03D9" w:rsidRPr="000B03D9" w:rsidTr="00B17777">
        <w:trPr>
          <w:trHeight w:val="100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Sendvič (integralni kruh, šunka, sir, zelena salata), mlijeko i jabuka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F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B03D9" w:rsidRPr="000B03D9" w:rsidTr="00B17777">
        <w:trPr>
          <w:trHeight w:val="523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Kruh s paštetom, cedevita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B03D9" w:rsidRPr="000B03D9" w:rsidTr="00B17777">
        <w:trPr>
          <w:trHeight w:val="66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Puding i keksi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+/-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B03D9" w:rsidRPr="000B03D9" w:rsidTr="00B17777">
        <w:trPr>
          <w:trHeight w:val="64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Lisnato pecivo i kakao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B17777" w:rsidP="000B0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B03D9" w:rsidRPr="000B03D9" w:rsidTr="00B17777">
        <w:trPr>
          <w:trHeight w:val="563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Svježi sir, salama, kruh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3A" w:rsidRPr="000B03D9" w:rsidRDefault="000B03D9" w:rsidP="000B03D9">
            <w:pPr>
              <w:rPr>
                <w:rFonts w:ascii="Times New Roman" w:hAnsi="Times New Roman"/>
                <w:sz w:val="24"/>
                <w:szCs w:val="24"/>
              </w:rPr>
            </w:pPr>
            <w:r w:rsidRPr="000B03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B0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B03D9" w:rsidRDefault="000B03D9" w:rsidP="000B03D9">
      <w:pPr>
        <w:rPr>
          <w:rFonts w:ascii="Times New Roman" w:hAnsi="Times New Roman"/>
          <w:sz w:val="24"/>
          <w:szCs w:val="24"/>
        </w:rPr>
      </w:pPr>
    </w:p>
    <w:p w:rsidR="005A4DA3" w:rsidRDefault="00056E0A" w:rsidP="00C5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Analiza jelovnika dostupnog na mrežnim stranicama II. OŠ Bjelovar u travnju 2013. godine, pokazala je kako 56,25% jela koja se ondje nalaze ne zadovoljavaju kriterije adekvatnog jutarnjeg obroka nužnog za jednog osnovnoškolca. Kriteriji prema kojima se odvijala selekcija su: energetska vrijednost obroka (300 – 400 kcal), proteini (oko 10 g), ugljikohidrati (oko 39 g), lipidi (oko 21 g), prehrambena vlakna (9,3 g), željezo (2,4 mg), kalcij (390 mg) </w:t>
      </w:r>
      <w:r w:rsidR="00EA3BBF">
        <w:rPr>
          <w:rFonts w:ascii="Times New Roman" w:eastAsia="Calibri" w:hAnsi="Times New Roman" w:cs="Times New Roman"/>
          <w:sz w:val="24"/>
          <w:szCs w:val="24"/>
        </w:rPr>
        <w:t>vitamin C (13,5 mg), što neka jela, poput špageta s mljevenim mesom, marmelade i kruha, kukuruznih pahuljica s mlijekom i napolitankama, eurokrema i mlijeka, čokolina i petit keksa, nisu zadovoljila.</w:t>
      </w:r>
      <w:r w:rsidR="005A4DA3">
        <w:rPr>
          <w:rFonts w:ascii="Times New Roman" w:eastAsia="Calibri" w:hAnsi="Times New Roman" w:cs="Times New Roman"/>
          <w:sz w:val="24"/>
          <w:szCs w:val="24"/>
        </w:rPr>
        <w:t xml:space="preserve"> Ti su kriteriji važni, jer se radi o djeci koja se intenzivno rastu i razvijaju, te su im spomenute nutritivne komponente važne i kritične u toj dobi.</w:t>
      </w:r>
      <w:r w:rsidR="00EA3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701">
        <w:rPr>
          <w:rFonts w:ascii="Times New Roman" w:eastAsia="Calibri" w:hAnsi="Times New Roman" w:cs="Times New Roman"/>
          <w:sz w:val="24"/>
          <w:szCs w:val="24"/>
        </w:rPr>
        <w:t>Prema istim tim kriterijima, uz uvjet da cijena obroka ostane nepromijenjena u odnosu na „staru“ kuhinju, predložen je jelovnik prema kojemu bi se djeca trebala hraniti. Jelovnik se sastoji od jednostavnih, za pripremu ne zahtjevnih jela, koja udovoljavaju načelima piramide pravilne prehrane, a koji se provodi kao dio pilot projekta „Zdrava prehrana u školi“. Napominjem kako taj jelovnik nije konačan, nego samo probni, putem kojega ćemo, zahvaljujući učenicima koji sudjeluju</w:t>
      </w:r>
      <w:r w:rsidR="0081287C">
        <w:rPr>
          <w:rFonts w:ascii="Times New Roman" w:eastAsia="Calibri" w:hAnsi="Times New Roman" w:cs="Times New Roman"/>
          <w:sz w:val="24"/>
          <w:szCs w:val="24"/>
        </w:rPr>
        <w:t xml:space="preserve"> u projektu</w:t>
      </w:r>
      <w:r w:rsidR="005A1701">
        <w:rPr>
          <w:rFonts w:ascii="Times New Roman" w:eastAsia="Calibri" w:hAnsi="Times New Roman" w:cs="Times New Roman"/>
          <w:sz w:val="24"/>
          <w:szCs w:val="24"/>
        </w:rPr>
        <w:t xml:space="preserve"> kao </w:t>
      </w:r>
      <w:r w:rsidR="00B72E42">
        <w:rPr>
          <w:rFonts w:ascii="Times New Roman" w:eastAsia="Calibri" w:hAnsi="Times New Roman" w:cs="Times New Roman"/>
          <w:sz w:val="24"/>
          <w:szCs w:val="24"/>
        </w:rPr>
        <w:t>učenici-senz</w:t>
      </w:r>
      <w:r w:rsidR="0081287C">
        <w:rPr>
          <w:rFonts w:ascii="Times New Roman" w:eastAsia="Calibri" w:hAnsi="Times New Roman" w:cs="Times New Roman"/>
          <w:sz w:val="24"/>
          <w:szCs w:val="24"/>
        </w:rPr>
        <w:t>orski analitičari, dobiti p</w:t>
      </w:r>
      <w:r w:rsidR="005A4DA3">
        <w:rPr>
          <w:rFonts w:ascii="Times New Roman" w:eastAsia="Calibri" w:hAnsi="Times New Roman" w:cs="Times New Roman"/>
          <w:sz w:val="24"/>
          <w:szCs w:val="24"/>
        </w:rPr>
        <w:t xml:space="preserve">ovratnu informaciju o </w:t>
      </w:r>
      <w:r w:rsidR="005A4DA3">
        <w:rPr>
          <w:rFonts w:ascii="Times New Roman" w:eastAsia="Calibri" w:hAnsi="Times New Roman" w:cs="Times New Roman"/>
          <w:sz w:val="24"/>
          <w:szCs w:val="24"/>
        </w:rPr>
        <w:lastRenderedPageBreak/>
        <w:t>zadovoljs</w:t>
      </w:r>
      <w:r w:rsidR="0081287C">
        <w:rPr>
          <w:rFonts w:ascii="Times New Roman" w:eastAsia="Calibri" w:hAnsi="Times New Roman" w:cs="Times New Roman"/>
          <w:sz w:val="24"/>
          <w:szCs w:val="24"/>
        </w:rPr>
        <w:t>tvu učenika i prilagoditi jelovnik zahtjevima djece, vodeći, dakako, računa o nut</w:t>
      </w:r>
      <w:r w:rsidR="00D1561A">
        <w:rPr>
          <w:rFonts w:ascii="Times New Roman" w:eastAsia="Calibri" w:hAnsi="Times New Roman" w:cs="Times New Roman"/>
          <w:sz w:val="24"/>
          <w:szCs w:val="24"/>
        </w:rPr>
        <w:t>ritivnim vrijednostima pojedini</w:t>
      </w:r>
      <w:r w:rsidR="0081287C">
        <w:rPr>
          <w:rFonts w:ascii="Times New Roman" w:eastAsia="Calibri" w:hAnsi="Times New Roman" w:cs="Times New Roman"/>
          <w:sz w:val="24"/>
          <w:szCs w:val="24"/>
        </w:rPr>
        <w:t xml:space="preserve">h jela. </w:t>
      </w:r>
    </w:p>
    <w:p w:rsidR="005A4DA3" w:rsidRDefault="005A4DA3" w:rsidP="00C5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843" w:rsidRDefault="00C50843" w:rsidP="00C5084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843" w:rsidRPr="00C50843" w:rsidRDefault="00C50843" w:rsidP="00C5084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50843">
        <w:rPr>
          <w:rFonts w:ascii="Times New Roman" w:eastAsia="Calibri" w:hAnsi="Times New Roman" w:cs="Times New Roman"/>
          <w:b/>
          <w:sz w:val="24"/>
          <w:szCs w:val="24"/>
        </w:rPr>
        <w:t>Učiteljica prirode i biologije:</w:t>
      </w:r>
    </w:p>
    <w:p w:rsidR="00C50843" w:rsidRPr="00302A30" w:rsidRDefault="00C50843" w:rsidP="00C508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0843">
        <w:rPr>
          <w:rFonts w:ascii="Times New Roman" w:eastAsia="Calibri" w:hAnsi="Times New Roman" w:cs="Times New Roman"/>
          <w:b/>
          <w:sz w:val="24"/>
          <w:szCs w:val="24"/>
        </w:rPr>
        <w:t>Margita Zlatić, mag.nutricionizma</w:t>
      </w:r>
    </w:p>
    <w:sectPr w:rsidR="00C50843" w:rsidRPr="00302A30" w:rsidSect="0086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FB4"/>
    <w:multiLevelType w:val="hybridMultilevel"/>
    <w:tmpl w:val="55CCC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CED"/>
    <w:multiLevelType w:val="hybridMultilevel"/>
    <w:tmpl w:val="DE446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06E47"/>
    <w:multiLevelType w:val="hybridMultilevel"/>
    <w:tmpl w:val="0DEA36FE"/>
    <w:lvl w:ilvl="0" w:tplc="97EE3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9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49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8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A7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07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AE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C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743A"/>
    <w:rsid w:val="00056E0A"/>
    <w:rsid w:val="000710B5"/>
    <w:rsid w:val="000B03D9"/>
    <w:rsid w:val="00302A30"/>
    <w:rsid w:val="0047114F"/>
    <w:rsid w:val="004905CC"/>
    <w:rsid w:val="00521CF0"/>
    <w:rsid w:val="005A1701"/>
    <w:rsid w:val="005A4DA3"/>
    <w:rsid w:val="005E23A8"/>
    <w:rsid w:val="007A3FCC"/>
    <w:rsid w:val="0081287C"/>
    <w:rsid w:val="008630A7"/>
    <w:rsid w:val="008651FB"/>
    <w:rsid w:val="008E5FED"/>
    <w:rsid w:val="009208EB"/>
    <w:rsid w:val="00936BBA"/>
    <w:rsid w:val="009F0BE6"/>
    <w:rsid w:val="00AF5C3A"/>
    <w:rsid w:val="00B17777"/>
    <w:rsid w:val="00B70A63"/>
    <w:rsid w:val="00B72E42"/>
    <w:rsid w:val="00BA3C26"/>
    <w:rsid w:val="00BB2058"/>
    <w:rsid w:val="00C50843"/>
    <w:rsid w:val="00C63986"/>
    <w:rsid w:val="00CF3427"/>
    <w:rsid w:val="00D1561A"/>
    <w:rsid w:val="00D2743A"/>
    <w:rsid w:val="00E6584D"/>
    <w:rsid w:val="00EA3BBF"/>
    <w:rsid w:val="00ED7769"/>
    <w:rsid w:val="00F8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A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3986"/>
    <w:pPr>
      <w:ind w:left="720"/>
      <w:contextualSpacing/>
    </w:pPr>
    <w:rPr>
      <w:rFonts w:ascii="Calibri" w:eastAsia="Calibri" w:hAnsi="Calibri" w:cs="Times New Roman"/>
    </w:rPr>
  </w:style>
  <w:style w:type="paragraph" w:styleId="Opisslike">
    <w:name w:val="caption"/>
    <w:basedOn w:val="Normal"/>
    <w:next w:val="Normal"/>
    <w:uiPriority w:val="35"/>
    <w:unhideWhenUsed/>
    <w:qFormat/>
    <w:rsid w:val="00C63986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1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ZN\projekti\MARGITA%20projekt%20BJELOVAR\djeca-anke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ZN\projekti\MARGITA%20projekt%20BJELOVAR\djeca-anke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ZN\projekti\MARGITA%20projekt%20BJELOVAR\djeca-anke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/>
            </a:pPr>
            <a:r>
              <a:rPr lang="hr-HR"/>
              <a:t>Tjelesna aktivnost s obzirom na spol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'raspodjela dobi i BMI po spolu'!$AU$9</c:f>
              <c:strCache>
                <c:ptCount val="1"/>
                <c:pt idx="0">
                  <c:v>Muškarci</c:v>
                </c:pt>
              </c:strCache>
            </c:strRef>
          </c:tx>
          <c:dLbls>
            <c:showVal val="1"/>
          </c:dLbls>
          <c:cat>
            <c:strRef>
              <c:f>'raspodjela dobi i BMI po spolu'!$AT$63:$AT$65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ponekad</c:v>
                </c:pt>
              </c:strCache>
            </c:strRef>
          </c:cat>
          <c:val>
            <c:numRef>
              <c:f>'raspodjela dobi i BMI po spolu'!$AU$63:$AU$65</c:f>
              <c:numCache>
                <c:formatCode>General</c:formatCode>
                <c:ptCount val="3"/>
                <c:pt idx="0">
                  <c:v>191</c:v>
                </c:pt>
                <c:pt idx="1">
                  <c:v>34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'raspodjela dobi i BMI po spolu'!$AV$9</c:f>
              <c:strCache>
                <c:ptCount val="1"/>
                <c:pt idx="0">
                  <c:v>Žene</c:v>
                </c:pt>
              </c:strCache>
            </c:strRef>
          </c:tx>
          <c:dLbls>
            <c:showVal val="1"/>
          </c:dLbls>
          <c:cat>
            <c:strRef>
              <c:f>'raspodjela dobi i BMI po spolu'!$AT$63:$AT$65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ponekad</c:v>
                </c:pt>
              </c:strCache>
            </c:strRef>
          </c:cat>
          <c:val>
            <c:numRef>
              <c:f>'raspodjela dobi i BMI po spolu'!$AV$63:$AV$65</c:f>
              <c:numCache>
                <c:formatCode>General</c:formatCode>
                <c:ptCount val="3"/>
                <c:pt idx="0">
                  <c:v>110</c:v>
                </c:pt>
                <c:pt idx="1">
                  <c:v>50</c:v>
                </c:pt>
                <c:pt idx="2">
                  <c:v>63</c:v>
                </c:pt>
              </c:numCache>
            </c:numRef>
          </c:val>
        </c:ser>
        <c:axId val="81230464"/>
        <c:axId val="81232640"/>
      </c:barChart>
      <c:catAx>
        <c:axId val="812304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Bavljenje tjelesnom aktivnošću</a:t>
                </a:r>
              </a:p>
            </c:rich>
          </c:tx>
        </c:title>
        <c:majorTickMark val="none"/>
        <c:tickLblPos val="nextTo"/>
        <c:crossAx val="81232640"/>
        <c:crosses val="autoZero"/>
        <c:auto val="1"/>
        <c:lblAlgn val="ctr"/>
        <c:lblOffset val="100"/>
      </c:catAx>
      <c:valAx>
        <c:axId val="812326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Broj ispitanika</a:t>
                </a:r>
              </a:p>
            </c:rich>
          </c:tx>
        </c:title>
        <c:numFmt formatCode="General" sourceLinked="1"/>
        <c:tickLblPos val="nextTo"/>
        <c:crossAx val="81230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/>
            </a:pPr>
            <a:r>
              <a:rPr lang="hr-HR"/>
              <a:t>Broj</a:t>
            </a:r>
            <a:r>
              <a:rPr lang="hr-HR" baseline="0"/>
              <a:t> glavnih obroka na dan s obzirom na spol </a:t>
            </a:r>
            <a:endParaRPr lang="hr-HR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'raspodjela dobi i BMI po spolu'!$AU$9</c:f>
              <c:strCache>
                <c:ptCount val="1"/>
                <c:pt idx="0">
                  <c:v>Muškarci</c:v>
                </c:pt>
              </c:strCache>
            </c:strRef>
          </c:tx>
          <c:dLbls>
            <c:showVal val="1"/>
          </c:dLbls>
          <c:cat>
            <c:strRef>
              <c:f>'raspodjela dobi i BMI po spolu'!$AT$18:$AT$20</c:f>
              <c:strCache>
                <c:ptCount val="3"/>
                <c:pt idx="0">
                  <c:v>1 glavni obrok</c:v>
                </c:pt>
                <c:pt idx="1">
                  <c:v>2 glavna obroka</c:v>
                </c:pt>
                <c:pt idx="2">
                  <c:v>3 glavna obroka</c:v>
                </c:pt>
              </c:strCache>
            </c:strRef>
          </c:cat>
          <c:val>
            <c:numRef>
              <c:f>'raspodjela dobi i BMI po spolu'!$AU$18:$AU$20</c:f>
              <c:numCache>
                <c:formatCode>General</c:formatCode>
                <c:ptCount val="3"/>
                <c:pt idx="0">
                  <c:v>11</c:v>
                </c:pt>
                <c:pt idx="1">
                  <c:v>54</c:v>
                </c:pt>
                <c:pt idx="2">
                  <c:v>213</c:v>
                </c:pt>
              </c:numCache>
            </c:numRef>
          </c:val>
        </c:ser>
        <c:ser>
          <c:idx val="1"/>
          <c:order val="1"/>
          <c:tx>
            <c:strRef>
              <c:f>'raspodjela dobi i BMI po spolu'!$AV$9</c:f>
              <c:strCache>
                <c:ptCount val="1"/>
                <c:pt idx="0">
                  <c:v>Žene</c:v>
                </c:pt>
              </c:strCache>
            </c:strRef>
          </c:tx>
          <c:dLbls>
            <c:showVal val="1"/>
          </c:dLbls>
          <c:cat>
            <c:strRef>
              <c:f>'raspodjela dobi i BMI po spolu'!$AT$18:$AT$20</c:f>
              <c:strCache>
                <c:ptCount val="3"/>
                <c:pt idx="0">
                  <c:v>1 glavni obrok</c:v>
                </c:pt>
                <c:pt idx="1">
                  <c:v>2 glavna obroka</c:v>
                </c:pt>
                <c:pt idx="2">
                  <c:v>3 glavna obroka</c:v>
                </c:pt>
              </c:strCache>
            </c:strRef>
          </c:cat>
          <c:val>
            <c:numRef>
              <c:f>'raspodjela dobi i BMI po spolu'!$AV$18:$AV$20</c:f>
              <c:numCache>
                <c:formatCode>General</c:formatCode>
                <c:ptCount val="3"/>
                <c:pt idx="0">
                  <c:v>12</c:v>
                </c:pt>
                <c:pt idx="1">
                  <c:v>59</c:v>
                </c:pt>
                <c:pt idx="2">
                  <c:v>152</c:v>
                </c:pt>
              </c:numCache>
            </c:numRef>
          </c:val>
        </c:ser>
        <c:axId val="81254656"/>
        <c:axId val="89719168"/>
      </c:barChart>
      <c:catAx>
        <c:axId val="81254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Broj konzumiranih glavnih obroka</a:t>
                </a:r>
                <a:endParaRPr lang="en-US"/>
              </a:p>
            </c:rich>
          </c:tx>
        </c:title>
        <c:majorTickMark val="none"/>
        <c:tickLblPos val="nextTo"/>
        <c:crossAx val="89719168"/>
        <c:crosses val="autoZero"/>
        <c:auto val="1"/>
        <c:lblAlgn val="ctr"/>
        <c:lblOffset val="100"/>
      </c:catAx>
      <c:valAx>
        <c:axId val="897191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Broj ispitanika</a:t>
                </a:r>
              </a:p>
            </c:rich>
          </c:tx>
        </c:title>
        <c:numFmt formatCode="General" sourceLinked="1"/>
        <c:tickLblPos val="nextTo"/>
        <c:crossAx val="81254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/>
          <a:lstStyle/>
          <a:p>
            <a:pPr>
              <a:defRPr/>
            </a:pPr>
            <a:r>
              <a:rPr lang="en-US"/>
              <a:t>Odabir obroka u školi s obzirom na spol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Muškarci</c:v>
          </c:tx>
          <c:dLbls>
            <c:showVal val="1"/>
          </c:dLbls>
          <c:cat>
            <c:strRef>
              <c:f>'raspodjela dobi i BMI po spolu'!$AT$33:$AT$36</c:f>
              <c:strCache>
                <c:ptCount val="4"/>
                <c:pt idx="0">
                  <c:v>sendvič</c:v>
                </c:pt>
                <c:pt idx="1">
                  <c:v>slatko</c:v>
                </c:pt>
                <c:pt idx="2">
                  <c:v>šk</c:v>
                </c:pt>
                <c:pt idx="3">
                  <c:v>ništa</c:v>
                </c:pt>
              </c:strCache>
            </c:strRef>
          </c:cat>
          <c:val>
            <c:numRef>
              <c:f>'raspodjela dobi i BMI po spolu'!$AU$33:$AU$36</c:f>
              <c:numCache>
                <c:formatCode>General</c:formatCode>
                <c:ptCount val="4"/>
                <c:pt idx="0">
                  <c:v>80</c:v>
                </c:pt>
                <c:pt idx="1">
                  <c:v>8</c:v>
                </c:pt>
                <c:pt idx="2">
                  <c:v>150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v>Žene</c:v>
          </c:tx>
          <c:dLbls>
            <c:showVal val="1"/>
          </c:dLbls>
          <c:cat>
            <c:strRef>
              <c:f>'raspodjela dobi i BMI po spolu'!$AT$33:$AT$36</c:f>
              <c:strCache>
                <c:ptCount val="4"/>
                <c:pt idx="0">
                  <c:v>sendvič</c:v>
                </c:pt>
                <c:pt idx="1">
                  <c:v>slatko</c:v>
                </c:pt>
                <c:pt idx="2">
                  <c:v>šk</c:v>
                </c:pt>
                <c:pt idx="3">
                  <c:v>ništa</c:v>
                </c:pt>
              </c:strCache>
            </c:strRef>
          </c:cat>
          <c:val>
            <c:numRef>
              <c:f>'raspodjela dobi i BMI po spolu'!$AV$33:$AV$36</c:f>
              <c:numCache>
                <c:formatCode>General</c:formatCode>
                <c:ptCount val="4"/>
                <c:pt idx="0">
                  <c:v>81</c:v>
                </c:pt>
                <c:pt idx="1">
                  <c:v>18</c:v>
                </c:pt>
                <c:pt idx="2">
                  <c:v>92</c:v>
                </c:pt>
                <c:pt idx="3">
                  <c:v>32</c:v>
                </c:pt>
              </c:numCache>
            </c:numRef>
          </c:val>
        </c:ser>
        <c:axId val="89732992"/>
        <c:axId val="89747456"/>
      </c:barChart>
      <c:catAx>
        <c:axId val="89732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Vrsta obroka u školi</a:t>
                </a:r>
              </a:p>
            </c:rich>
          </c:tx>
        </c:title>
        <c:majorTickMark val="none"/>
        <c:tickLblPos val="nextTo"/>
        <c:crossAx val="89747456"/>
        <c:crosses val="autoZero"/>
        <c:auto val="1"/>
        <c:lblAlgn val="ctr"/>
        <c:lblOffset val="100"/>
      </c:catAx>
      <c:valAx>
        <c:axId val="897474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Broj ispitanika</a:t>
                </a:r>
              </a:p>
            </c:rich>
          </c:tx>
        </c:title>
        <c:numFmt formatCode="General" sourceLinked="1"/>
        <c:tickLblPos val="nextTo"/>
        <c:crossAx val="89732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</dc:creator>
  <cp:keywords/>
  <dc:description/>
  <cp:lastModifiedBy>dvinkovic</cp:lastModifiedBy>
  <cp:revision>2</cp:revision>
  <dcterms:created xsi:type="dcterms:W3CDTF">2013-05-24T05:51:00Z</dcterms:created>
  <dcterms:modified xsi:type="dcterms:W3CDTF">2013-05-24T05:51:00Z</dcterms:modified>
</cp:coreProperties>
</file>