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CF" w:rsidRDefault="006041CF"/>
    <w:p w:rsidR="006041CF" w:rsidRDefault="006041CF">
      <w:pPr>
        <w:rPr>
          <w:sz w:val="20"/>
        </w:rPr>
      </w:pPr>
      <w:r>
        <w:rPr>
          <w:b/>
          <w:sz w:val="20"/>
        </w:rPr>
        <w:t xml:space="preserve">MINISTARSTVO ZNANOSTI, OBRAZOVANJA </w:t>
      </w:r>
      <w:r w:rsidR="00D9371C">
        <w:rPr>
          <w:b/>
          <w:sz w:val="20"/>
        </w:rPr>
        <w:t xml:space="preserve">  </w:t>
      </w:r>
      <w:r>
        <w:rPr>
          <w:sz w:val="20"/>
        </w:rPr>
        <w:tab/>
      </w:r>
      <w:r w:rsidR="0090257D">
        <w:rPr>
          <w:sz w:val="20"/>
        </w:rPr>
        <w:tab/>
      </w:r>
      <w:r w:rsidR="00D9371C">
        <w:rPr>
          <w:sz w:val="20"/>
        </w:rPr>
        <w:t xml:space="preserve">                            </w:t>
      </w:r>
      <w:r>
        <w:rPr>
          <w:sz w:val="20"/>
        </w:rPr>
        <w:t>Razina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31</w:t>
      </w:r>
    </w:p>
    <w:p w:rsidR="006041CF" w:rsidRDefault="006041CF">
      <w:pPr>
        <w:rPr>
          <w:sz w:val="20"/>
        </w:rPr>
      </w:pPr>
      <w:r>
        <w:rPr>
          <w:b/>
          <w:sz w:val="20"/>
        </w:rPr>
        <w:t>OSNOVNO OBRAZOVANJE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0257D">
        <w:rPr>
          <w:sz w:val="20"/>
        </w:rPr>
        <w:tab/>
      </w:r>
      <w:r>
        <w:rPr>
          <w:sz w:val="20"/>
        </w:rPr>
        <w:t>RKDP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15690</w:t>
      </w:r>
    </w:p>
    <w:p w:rsidR="006041CF" w:rsidRDefault="006041CF" w:rsidP="007F2CBB">
      <w:pPr>
        <w:rPr>
          <w:sz w:val="20"/>
        </w:rPr>
      </w:pPr>
      <w:r>
        <w:rPr>
          <w:sz w:val="20"/>
        </w:rPr>
        <w:t xml:space="preserve">PRORAČUNSKI KORISNIK: </w:t>
      </w:r>
      <w:r>
        <w:rPr>
          <w:b/>
          <w:bCs/>
          <w:sz w:val="20"/>
        </w:rPr>
        <w:t>OSNOVNA ŠKOLA ĐURE DEŽELIĆA</w:t>
      </w:r>
      <w:r>
        <w:rPr>
          <w:sz w:val="20"/>
        </w:rPr>
        <w:tab/>
      </w:r>
      <w:r>
        <w:rPr>
          <w:sz w:val="20"/>
        </w:rPr>
        <w:tab/>
        <w:t>Matični broj</w:t>
      </w:r>
      <w:r>
        <w:rPr>
          <w:sz w:val="20"/>
        </w:rPr>
        <w:tab/>
      </w:r>
      <w:r>
        <w:rPr>
          <w:sz w:val="20"/>
        </w:rPr>
        <w:tab/>
        <w:t>3102009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b/>
          <w:bCs/>
          <w:sz w:val="20"/>
        </w:rPr>
        <w:t>IVANIĆ-GRAD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Šifarska oznaka</w:t>
      </w:r>
      <w:r>
        <w:rPr>
          <w:sz w:val="20"/>
        </w:rPr>
        <w:tab/>
      </w:r>
      <w:r>
        <w:rPr>
          <w:sz w:val="20"/>
        </w:rPr>
        <w:tab/>
        <w:t>8520</w:t>
      </w:r>
    </w:p>
    <w:p w:rsidR="006041CF" w:rsidRDefault="006041CF">
      <w:pPr>
        <w:rPr>
          <w:sz w:val="20"/>
        </w:rPr>
      </w:pP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D6BCC">
        <w:rPr>
          <w:sz w:val="20"/>
        </w:rPr>
        <w:t>IBAN</w:t>
      </w:r>
      <w:r>
        <w:rPr>
          <w:sz w:val="20"/>
        </w:rPr>
        <w:t xml:space="preserve">: </w:t>
      </w:r>
      <w:r w:rsidR="00A91A30">
        <w:rPr>
          <w:sz w:val="20"/>
        </w:rPr>
        <w:t>HR85</w:t>
      </w:r>
      <w:r>
        <w:rPr>
          <w:sz w:val="20"/>
        </w:rPr>
        <w:t>23400091100049606</w:t>
      </w:r>
    </w:p>
    <w:p w:rsidR="006041CF" w:rsidRDefault="006041C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OIB</w:t>
      </w:r>
      <w:r w:rsidR="00A91A30">
        <w:rPr>
          <w:sz w:val="20"/>
        </w:rPr>
        <w:t>:</w:t>
      </w:r>
      <w:r w:rsidR="001D6BCC">
        <w:rPr>
          <w:sz w:val="20"/>
        </w:rPr>
        <w:t xml:space="preserve"> 646607</w:t>
      </w:r>
      <w:r>
        <w:rPr>
          <w:sz w:val="20"/>
        </w:rPr>
        <w:t>08691</w:t>
      </w:r>
    </w:p>
    <w:p w:rsidR="006041CF" w:rsidRPr="00FC66E3" w:rsidRDefault="006041C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041CF" w:rsidRDefault="006041CF"/>
    <w:p w:rsidR="00DF3B38" w:rsidRDefault="00DF3B38">
      <w:pPr>
        <w:jc w:val="center"/>
        <w:rPr>
          <w:b/>
          <w:bCs/>
        </w:rPr>
      </w:pPr>
      <w:r>
        <w:rPr>
          <w:b/>
          <w:bCs/>
        </w:rPr>
        <w:t xml:space="preserve">BILJEŠKE </w:t>
      </w:r>
      <w:r w:rsidR="00121547">
        <w:rPr>
          <w:b/>
          <w:bCs/>
        </w:rPr>
        <w:t>UZ FINANCIJSKE IZVJEŠTAJE ZA 2020</w:t>
      </w:r>
      <w:r>
        <w:rPr>
          <w:b/>
          <w:bCs/>
        </w:rPr>
        <w:t>.godinu</w:t>
      </w:r>
    </w:p>
    <w:p w:rsidR="00DF3B38" w:rsidRDefault="00DF3B38">
      <w:pPr>
        <w:jc w:val="center"/>
        <w:rPr>
          <w:b/>
          <w:bCs/>
        </w:rPr>
      </w:pPr>
    </w:p>
    <w:p w:rsidR="00DF3B38" w:rsidRDefault="00DF3B38">
      <w:pPr>
        <w:jc w:val="center"/>
        <w:rPr>
          <w:b/>
          <w:bCs/>
        </w:rPr>
      </w:pPr>
    </w:p>
    <w:p w:rsidR="006041CF" w:rsidRPr="00DF3B38" w:rsidRDefault="006041CF">
      <w:pPr>
        <w:jc w:val="center"/>
        <w:rPr>
          <w:b/>
          <w:bCs/>
          <w:sz w:val="22"/>
          <w:szCs w:val="22"/>
        </w:rPr>
      </w:pPr>
      <w:r w:rsidRPr="00DF3B38">
        <w:rPr>
          <w:b/>
          <w:bCs/>
          <w:sz w:val="22"/>
          <w:szCs w:val="22"/>
        </w:rPr>
        <w:t xml:space="preserve">BILJEŠKE UZ IZVJEŠTAJ O PRIHODIMA I RASHODIMA, PRIMICIMA I IZDACIMA </w:t>
      </w:r>
    </w:p>
    <w:p w:rsidR="006041CF" w:rsidRDefault="006041CF">
      <w:pPr>
        <w:jc w:val="center"/>
      </w:pPr>
      <w:r>
        <w:t>(Obrazac: PR-RA</w:t>
      </w:r>
      <w:r w:rsidR="00DF3B38">
        <w:t>S</w:t>
      </w:r>
      <w:r>
        <w:t>)</w:t>
      </w:r>
    </w:p>
    <w:p w:rsidR="006041CF" w:rsidRDefault="006041CF">
      <w:pPr>
        <w:jc w:val="center"/>
      </w:pPr>
      <w:r>
        <w:rPr>
          <w:b/>
          <w:bCs/>
        </w:rPr>
        <w:t xml:space="preserve">(1. siječnja do 31. prosinca </w:t>
      </w:r>
      <w:r w:rsidR="00121547">
        <w:rPr>
          <w:b/>
          <w:bCs/>
        </w:rPr>
        <w:t>2020</w:t>
      </w:r>
      <w:r>
        <w:rPr>
          <w:b/>
          <w:bCs/>
        </w:rPr>
        <w:t>.)</w:t>
      </w:r>
    </w:p>
    <w:p w:rsidR="006041CF" w:rsidRDefault="006041CF"/>
    <w:p w:rsidR="006041CF" w:rsidRDefault="006041CF" w:rsidP="00433C6C">
      <w:pPr>
        <w:ind w:firstLine="284"/>
      </w:pPr>
      <w:r>
        <w:t>U razdoblju od 1. siječnja do 31. prosinca 20</w:t>
      </w:r>
      <w:r w:rsidR="00121547">
        <w:t>20</w:t>
      </w:r>
      <w:r>
        <w:t xml:space="preserve">. Osnovna škola Đure </w:t>
      </w:r>
      <w:proofErr w:type="spellStart"/>
      <w:r>
        <w:t>Deželića</w:t>
      </w:r>
      <w:proofErr w:type="spellEnd"/>
      <w:r w:rsidR="00502D8A">
        <w:t>-Ivanić-Grad</w:t>
      </w:r>
      <w:r>
        <w:t xml:space="preserve"> ostvarila je </w:t>
      </w:r>
      <w:r w:rsidRPr="00D2799A">
        <w:rPr>
          <w:b/>
          <w:color w:val="0070C0"/>
        </w:rPr>
        <w:t xml:space="preserve">ukupan prihod u iznosu </w:t>
      </w:r>
      <w:r w:rsidR="00937B59" w:rsidRPr="00D2799A">
        <w:rPr>
          <w:b/>
          <w:color w:val="0070C0"/>
        </w:rPr>
        <w:t>8.</w:t>
      </w:r>
      <w:r w:rsidR="00321E2A">
        <w:rPr>
          <w:b/>
          <w:color w:val="0070C0"/>
        </w:rPr>
        <w:t>178.420,64</w:t>
      </w:r>
      <w:r w:rsidR="00DF3B38" w:rsidRPr="00D2799A">
        <w:rPr>
          <w:b/>
          <w:color w:val="0070C0"/>
        </w:rPr>
        <w:t xml:space="preserve"> kn</w:t>
      </w:r>
      <w:r>
        <w:t xml:space="preserve"> (AOP </w:t>
      </w:r>
      <w:r w:rsidR="00937B59">
        <w:t>403)</w:t>
      </w:r>
      <w:r>
        <w:t xml:space="preserve"> i to kako slijedi:</w:t>
      </w:r>
    </w:p>
    <w:p w:rsidR="006041CF" w:rsidRDefault="006041CF"/>
    <w:p w:rsidR="00DF3B38" w:rsidRDefault="006041CF">
      <w:pPr>
        <w:tabs>
          <w:tab w:val="left" w:pos="627"/>
          <w:tab w:val="right" w:pos="8550"/>
        </w:tabs>
      </w:pP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2268"/>
        <w:gridCol w:w="567"/>
      </w:tblGrid>
      <w:tr w:rsidR="00047920" w:rsidTr="002923A5">
        <w:tc>
          <w:tcPr>
            <w:tcW w:w="1384" w:type="dxa"/>
            <w:tcBorders>
              <w:bottom w:val="dotted" w:sz="4" w:space="0" w:color="auto"/>
            </w:tcBorders>
          </w:tcPr>
          <w:p w:rsidR="00047920" w:rsidRPr="00937B59" w:rsidRDefault="00047920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AOP 064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047920" w:rsidRPr="00047920" w:rsidRDefault="00047920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047920">
              <w:rPr>
                <w:b/>
              </w:rPr>
              <w:t>Pomoć proračuna koji nam nije nadležan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47920" w:rsidRPr="00047920" w:rsidRDefault="00047920" w:rsidP="0012154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 w:rsidRPr="00047920">
              <w:rPr>
                <w:b/>
              </w:rPr>
              <w:t>7.</w:t>
            </w:r>
            <w:r w:rsidR="00121547">
              <w:rPr>
                <w:b/>
              </w:rPr>
              <w:t>206.858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47920" w:rsidRDefault="00047920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047920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  <w:r>
              <w:t>Grad Ivanić-Grad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121547" w:rsidP="002930E7">
            <w:pPr>
              <w:tabs>
                <w:tab w:val="left" w:pos="627"/>
                <w:tab w:val="right" w:pos="8550"/>
              </w:tabs>
              <w:jc w:val="right"/>
            </w:pPr>
            <w:r>
              <w:t>143.101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7914E6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22EAF" w:rsidP="00121547">
            <w:pPr>
              <w:tabs>
                <w:tab w:val="left" w:pos="627"/>
                <w:tab w:val="right" w:pos="8550"/>
              </w:tabs>
            </w:pPr>
            <w:r>
              <w:t>-</w:t>
            </w:r>
            <w:proofErr w:type="spellStart"/>
            <w:r>
              <w:t>sufinanc.šk.kuhinje</w:t>
            </w:r>
            <w:proofErr w:type="spellEnd"/>
            <w:r>
              <w:t xml:space="preserve">:                          </w:t>
            </w:r>
            <w:r w:rsidR="00121547">
              <w:t>143.101,00</w:t>
            </w:r>
            <w:r>
              <w:t xml:space="preserve"> kn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7914E6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22EAF" w:rsidP="00121547">
            <w:pPr>
              <w:tabs>
                <w:tab w:val="left" w:pos="627"/>
                <w:tab w:val="right" w:pos="8550"/>
              </w:tabs>
            </w:pPr>
            <w:r>
              <w:t xml:space="preserve">-izvanškolske aktivnosti:                    </w:t>
            </w:r>
            <w:r w:rsidR="00121547">
              <w:t xml:space="preserve">          </w:t>
            </w:r>
            <w:r>
              <w:t xml:space="preserve"> </w:t>
            </w:r>
            <w:r w:rsidR="00121547">
              <w:t>0,00</w:t>
            </w:r>
            <w:r>
              <w:t xml:space="preserve"> kn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7914E6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22EAF" w:rsidP="00121547">
            <w:pPr>
              <w:tabs>
                <w:tab w:val="left" w:pos="627"/>
                <w:tab w:val="right" w:pos="8550"/>
              </w:tabs>
            </w:pPr>
            <w:r>
              <w:t xml:space="preserve">-darovita djeca:                                   </w:t>
            </w:r>
            <w:r w:rsidR="00121547">
              <w:t xml:space="preserve">         </w:t>
            </w:r>
            <w:r>
              <w:t xml:space="preserve">  </w:t>
            </w:r>
            <w:r w:rsidR="00121547">
              <w:t>0,00</w:t>
            </w:r>
            <w:r>
              <w:t xml:space="preserve"> kn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914E6" w:rsidRDefault="007914E6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722EAF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121547">
            <w:pPr>
              <w:tabs>
                <w:tab w:val="left" w:pos="627"/>
                <w:tab w:val="right" w:pos="8550"/>
              </w:tabs>
            </w:pPr>
            <w:r>
              <w:t xml:space="preserve">-škola plivanja:                                    </w:t>
            </w:r>
            <w:r w:rsidR="00121547">
              <w:t xml:space="preserve">          0,00</w:t>
            </w:r>
            <w:r>
              <w:t xml:space="preserve"> kn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722EAF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121547">
            <w:pPr>
              <w:tabs>
                <w:tab w:val="left" w:pos="627"/>
                <w:tab w:val="right" w:pos="8550"/>
              </w:tabs>
            </w:pPr>
            <w:r>
              <w:t xml:space="preserve">-radne bilježnice i radni materijali:   </w:t>
            </w:r>
            <w:r w:rsidR="00121547">
              <w:t xml:space="preserve">           </w:t>
            </w:r>
            <w:r>
              <w:t xml:space="preserve">  </w:t>
            </w:r>
            <w:r w:rsidR="00121547">
              <w:t>0,00</w:t>
            </w:r>
            <w:r>
              <w:t xml:space="preserve"> kn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047920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  <w:r>
              <w:t>Agencija za odgoj i obrazovanje</w:t>
            </w:r>
            <w:r w:rsidR="009F01A8"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9F01A8" w:rsidP="002930E7">
            <w:pPr>
              <w:tabs>
                <w:tab w:val="left" w:pos="627"/>
                <w:tab w:val="right" w:pos="8550"/>
              </w:tabs>
              <w:jc w:val="right"/>
            </w:pPr>
            <w:r>
              <w:t>0,00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9F01A8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220B37" w:rsidP="009F01A8">
            <w:pPr>
              <w:tabs>
                <w:tab w:val="left" w:pos="627"/>
                <w:tab w:val="right" w:pos="8550"/>
              </w:tabs>
            </w:pPr>
            <w:r>
              <w:t>Prihod ostalih proračuna koji nam nisu nadležni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220B37" w:rsidP="002930E7">
            <w:pPr>
              <w:tabs>
                <w:tab w:val="left" w:pos="627"/>
                <w:tab w:val="right" w:pos="8550"/>
              </w:tabs>
              <w:jc w:val="right"/>
            </w:pPr>
            <w:r>
              <w:t>500,00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047920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9F01A8">
            <w:pPr>
              <w:tabs>
                <w:tab w:val="left" w:pos="627"/>
                <w:tab w:val="right" w:pos="8550"/>
              </w:tabs>
            </w:pPr>
            <w:r>
              <w:t>MZO</w:t>
            </w:r>
            <w:r w:rsidR="009F01A8">
              <w:t>-tekuća pomoć-za isplatu plaća i naknada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9F01A8" w:rsidP="00220B37">
            <w:pPr>
              <w:tabs>
                <w:tab w:val="left" w:pos="627"/>
                <w:tab w:val="right" w:pos="8550"/>
              </w:tabs>
              <w:jc w:val="right"/>
            </w:pPr>
            <w:r>
              <w:t>6.811.</w:t>
            </w:r>
            <w:r w:rsidR="00220B37">
              <w:t>2</w:t>
            </w:r>
            <w:r>
              <w:t>95,06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9F01A8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</w:pPr>
            <w:r>
              <w:t>MZO-tekuća pomoć -za udžbenike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  <w:jc w:val="right"/>
            </w:pPr>
            <w:r>
              <w:t>115.472,54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047920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F24F0C" w:rsidP="002930E7">
            <w:pPr>
              <w:tabs>
                <w:tab w:val="left" w:pos="627"/>
                <w:tab w:val="right" w:pos="8550"/>
              </w:tabs>
            </w:pPr>
            <w:r>
              <w:t>MZO-kapitalna pomoć-za udžbenike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9F01A8" w:rsidP="002930E7">
            <w:pPr>
              <w:tabs>
                <w:tab w:val="left" w:pos="627"/>
                <w:tab w:val="right" w:pos="8550"/>
              </w:tabs>
              <w:jc w:val="right"/>
            </w:pPr>
            <w:r>
              <w:t>126.489,10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047920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9F01A8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9F01A8">
            <w:pPr>
              <w:tabs>
                <w:tab w:val="left" w:pos="627"/>
                <w:tab w:val="right" w:pos="8550"/>
              </w:tabs>
            </w:pPr>
            <w:r>
              <w:t>MZO-kapitalna pomoć-za ostalu opremu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  <w:jc w:val="right"/>
            </w:pPr>
            <w:r>
              <w:t>10.000,00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9F01A8" w:rsidRDefault="009F01A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047920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Pr="00937B59" w:rsidRDefault="00F24F0C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AOP 074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Pr="00937B59" w:rsidRDefault="00F24F0C" w:rsidP="00862F42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Prihod o</w:t>
            </w:r>
            <w:r w:rsidR="00722EAF" w:rsidRPr="00937B59">
              <w:rPr>
                <w:b/>
              </w:rPr>
              <w:t>d</w:t>
            </w:r>
            <w:r w:rsidR="00862F42">
              <w:rPr>
                <w:b/>
              </w:rPr>
              <w:t xml:space="preserve"> </w:t>
            </w:r>
            <w:r w:rsidR="00722EAF" w:rsidRPr="00937B59">
              <w:rPr>
                <w:b/>
              </w:rPr>
              <w:t>imovine: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Pr="00937B59" w:rsidRDefault="00862F42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6.684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7920" w:rsidRDefault="00937B59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722EAF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Pr="00937B59" w:rsidRDefault="00722EAF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Pr="00862F42" w:rsidRDefault="00862F42" w:rsidP="002930E7">
            <w:pPr>
              <w:tabs>
                <w:tab w:val="left" w:pos="627"/>
                <w:tab w:val="right" w:pos="8550"/>
              </w:tabs>
            </w:pPr>
            <w:r w:rsidRPr="00862F42">
              <w:t>-prihod od financijske imovine-kamata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Pr="00862F42" w:rsidRDefault="00862F42" w:rsidP="002930E7">
            <w:pPr>
              <w:tabs>
                <w:tab w:val="left" w:pos="627"/>
                <w:tab w:val="right" w:pos="8550"/>
              </w:tabs>
              <w:jc w:val="right"/>
            </w:pPr>
            <w:r w:rsidRPr="00862F42">
              <w:t>4,00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22EAF" w:rsidRDefault="00722EAF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862F4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Pr="00937B59" w:rsidRDefault="00862F42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Pr="00862F42" w:rsidRDefault="00862F42" w:rsidP="00862F42">
            <w:pPr>
              <w:tabs>
                <w:tab w:val="left" w:pos="627"/>
                <w:tab w:val="right" w:pos="8550"/>
              </w:tabs>
            </w:pPr>
            <w:r w:rsidRPr="00862F42">
              <w:t xml:space="preserve">-prihod od nefinancijske imovine-prihod od </w:t>
            </w:r>
            <w:r>
              <w:t>zakupa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Pr="00862F42" w:rsidRDefault="00862F42" w:rsidP="002930E7">
            <w:pPr>
              <w:tabs>
                <w:tab w:val="left" w:pos="627"/>
                <w:tab w:val="right" w:pos="8550"/>
              </w:tabs>
              <w:jc w:val="right"/>
            </w:pPr>
            <w:r>
              <w:t>6.680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Default="0060529B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121547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121547" w:rsidRPr="00937B59" w:rsidRDefault="00862F42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AOP 105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121547" w:rsidRPr="00937B59" w:rsidRDefault="00862F42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Prihodi od participacije građana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21547" w:rsidRPr="009F01A8" w:rsidRDefault="00862F42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 w:rsidRPr="009F01A8">
              <w:rPr>
                <w:b/>
              </w:rPr>
              <w:t>159.556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21547" w:rsidRPr="009F01A8" w:rsidRDefault="00862F42" w:rsidP="002930E7">
            <w:pPr>
              <w:tabs>
                <w:tab w:val="left" w:pos="627"/>
                <w:tab w:val="right" w:pos="8550"/>
              </w:tabs>
            </w:pPr>
            <w:r w:rsidRPr="009F01A8">
              <w:t>kn</w:t>
            </w:r>
          </w:p>
        </w:tc>
      </w:tr>
      <w:tr w:rsidR="00862F4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Pr="00937B59" w:rsidRDefault="00862F42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Pr="00937B59" w:rsidRDefault="00E301F2" w:rsidP="009F01A8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t>-</w:t>
            </w:r>
            <w:r w:rsidRPr="00A26273">
              <w:t>prih</w:t>
            </w:r>
            <w:r w:rsidR="009F01A8">
              <w:t xml:space="preserve">od </w:t>
            </w:r>
            <w:r w:rsidRPr="00A26273">
              <w:t>škol</w:t>
            </w:r>
            <w:r w:rsidR="009F01A8">
              <w:t xml:space="preserve">ske </w:t>
            </w:r>
            <w:r w:rsidRPr="00A26273">
              <w:t xml:space="preserve">kuhinje-uplate </w:t>
            </w:r>
            <w:r>
              <w:t>roditelja</w:t>
            </w:r>
            <w:r w:rsidRPr="00A26273">
              <w:t xml:space="preserve"> i djelatnika: </w:t>
            </w:r>
            <w:r>
              <w:t xml:space="preserve"> 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Pr="009F01A8" w:rsidRDefault="009F01A8" w:rsidP="002930E7">
            <w:pPr>
              <w:tabs>
                <w:tab w:val="left" w:pos="627"/>
                <w:tab w:val="right" w:pos="8550"/>
              </w:tabs>
              <w:jc w:val="right"/>
            </w:pPr>
            <w:r w:rsidRPr="009F01A8">
              <w:t>137.286,16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62F42" w:rsidRDefault="009F01A8" w:rsidP="002930E7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37B59" w:rsidRDefault="00E301F2" w:rsidP="00E301F2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581C7E" w:rsidRDefault="00E301F2" w:rsidP="009F01A8">
            <w:pPr>
              <w:tabs>
                <w:tab w:val="left" w:pos="627"/>
                <w:tab w:val="right" w:pos="8550"/>
              </w:tabs>
            </w:pPr>
            <w:r w:rsidRPr="00581C7E">
              <w:t xml:space="preserve">-uplate učenika za osiguranje: </w:t>
            </w:r>
            <w:r>
              <w:t xml:space="preserve">  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F01A8" w:rsidRDefault="00220B37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t>13.530,00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9F01A8" w:rsidP="00E301F2">
            <w:pPr>
              <w:tabs>
                <w:tab w:val="left" w:pos="627"/>
                <w:tab w:val="right" w:pos="8550"/>
              </w:tabs>
            </w:pPr>
            <w:r>
              <w:t>k</w:t>
            </w:r>
            <w:r w:rsidR="00E301F2">
              <w:t>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37B59" w:rsidRDefault="00E301F2" w:rsidP="00E301F2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581C7E" w:rsidRDefault="00E301F2" w:rsidP="009F01A8">
            <w:pPr>
              <w:tabs>
                <w:tab w:val="left" w:pos="627"/>
                <w:tab w:val="right" w:pos="8550"/>
              </w:tabs>
            </w:pPr>
            <w:r w:rsidRPr="00581C7E">
              <w:t>-uplate učenika za izlete:</w:t>
            </w:r>
            <w:r>
              <w:t xml:space="preserve">                                    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F01A8" w:rsidRDefault="009F01A8" w:rsidP="00E301F2">
            <w:pPr>
              <w:tabs>
                <w:tab w:val="left" w:pos="627"/>
                <w:tab w:val="right" w:pos="8550"/>
              </w:tabs>
              <w:jc w:val="right"/>
            </w:pPr>
            <w:r w:rsidRPr="009F01A8">
              <w:t>7.990,00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9F01A8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37B59" w:rsidRDefault="00E301F2" w:rsidP="00E301F2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A26273" w:rsidRDefault="009F01A8" w:rsidP="00E301F2">
            <w:pPr>
              <w:tabs>
                <w:tab w:val="left" w:pos="627"/>
                <w:tab w:val="right" w:pos="8550"/>
              </w:tabs>
            </w:pPr>
            <w:r>
              <w:t>-ostale uplate građana (popravak laptopa)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F01A8" w:rsidRDefault="009F01A8" w:rsidP="00E301F2">
            <w:pPr>
              <w:tabs>
                <w:tab w:val="left" w:pos="627"/>
                <w:tab w:val="right" w:pos="8550"/>
              </w:tabs>
              <w:jc w:val="right"/>
            </w:pPr>
            <w:r w:rsidRPr="009F01A8">
              <w:t>750,00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9F01A8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37B59" w:rsidRDefault="00E301F2" w:rsidP="00E301F2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AOP 12</w:t>
            </w: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37B59" w:rsidRDefault="00E301F2" w:rsidP="00E301F2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rPr>
                <w:b/>
              </w:rPr>
              <w:t>Prihod od donacija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937B59" w:rsidRDefault="00E301F2" w:rsidP="00E301F2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6.358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F24F0C" w:rsidRDefault="00E301F2" w:rsidP="00E301F2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F24F0C">
              <w:rPr>
                <w:b/>
              </w:rPr>
              <w:t>AOP 132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F24F0C" w:rsidRDefault="00E301F2" w:rsidP="00E301F2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F24F0C">
              <w:rPr>
                <w:b/>
              </w:rPr>
              <w:t>Prihod od nadležnog proračuna (Zg.županija</w:t>
            </w:r>
            <w:r w:rsidR="0003746C">
              <w:rPr>
                <w:b/>
              </w:rPr>
              <w:t xml:space="preserve">:793.923, </w:t>
            </w:r>
            <w:proofErr w:type="spellStart"/>
            <w:r w:rsidR="0003746C">
              <w:rPr>
                <w:b/>
              </w:rPr>
              <w:t>Žup.sport.savez</w:t>
            </w:r>
            <w:proofErr w:type="spellEnd"/>
            <w:r w:rsidR="0003746C">
              <w:rPr>
                <w:b/>
              </w:rPr>
              <w:t>: 3.600,00</w:t>
            </w:r>
            <w:r w:rsidRPr="00F24F0C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F24F0C" w:rsidRDefault="0003746C" w:rsidP="00E301F2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797.523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Školska shema voća i povrća, medni dan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t>14.647,55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 xml:space="preserve">Decentralizirana sredstva (rashodi </w:t>
            </w:r>
            <w:proofErr w:type="spellStart"/>
            <w:r>
              <w:t>poslov</w:t>
            </w:r>
            <w:proofErr w:type="spellEnd"/>
            <w:r>
              <w:t xml:space="preserve">., tekuće i </w:t>
            </w:r>
            <w:proofErr w:type="spellStart"/>
            <w:r>
              <w:t>inv.odr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t>448.595,56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 xml:space="preserve">Usluge tekućeg i </w:t>
            </w:r>
            <w:proofErr w:type="spellStart"/>
            <w:r>
              <w:t>investic,održavanja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t>129.591,25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Natjecanje-engleski jezik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t>24.397,87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Projekat E-tehničar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t>2.321,36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Prsten potpore III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t>174.369,62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E301F2" w:rsidTr="002923A5"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03746C" w:rsidRDefault="00220B37" w:rsidP="00E301F2">
            <w:pPr>
              <w:tabs>
                <w:tab w:val="left" w:pos="627"/>
                <w:tab w:val="right" w:pos="8550"/>
              </w:tabs>
            </w:pPr>
            <w:r w:rsidRPr="0003746C">
              <w:t>Prihod od Županijskog sportskog saveza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Pr="0003746C" w:rsidRDefault="00220B37" w:rsidP="00E301F2">
            <w:pPr>
              <w:tabs>
                <w:tab w:val="left" w:pos="627"/>
                <w:tab w:val="right" w:pos="8550"/>
              </w:tabs>
              <w:jc w:val="right"/>
            </w:pPr>
            <w:r w:rsidRPr="0003746C">
              <w:t>3.600,00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1F2" w:rsidRDefault="00E301F2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  <w:tr w:rsidR="002923A5" w:rsidTr="002923A5">
        <w:tc>
          <w:tcPr>
            <w:tcW w:w="1384" w:type="dxa"/>
            <w:tcBorders>
              <w:top w:val="dotted" w:sz="4" w:space="0" w:color="auto"/>
            </w:tcBorders>
          </w:tcPr>
          <w:p w:rsidR="002923A5" w:rsidRDefault="002923A5" w:rsidP="00E301F2">
            <w:pPr>
              <w:tabs>
                <w:tab w:val="left" w:pos="627"/>
                <w:tab w:val="right" w:pos="8550"/>
              </w:tabs>
            </w:pPr>
            <w:r w:rsidRPr="00937B59">
              <w:rPr>
                <w:b/>
              </w:rPr>
              <w:t>AOP 302</w:t>
            </w:r>
          </w:p>
        </w:tc>
        <w:tc>
          <w:tcPr>
            <w:tcW w:w="5954" w:type="dxa"/>
            <w:tcBorders>
              <w:top w:val="dotted" w:sz="4" w:space="0" w:color="auto"/>
            </w:tcBorders>
          </w:tcPr>
          <w:p w:rsidR="002923A5" w:rsidRDefault="002923A5" w:rsidP="00E301F2">
            <w:pPr>
              <w:tabs>
                <w:tab w:val="left" w:pos="627"/>
                <w:tab w:val="right" w:pos="8550"/>
              </w:tabs>
            </w:pPr>
            <w:r w:rsidRPr="00937B59">
              <w:rPr>
                <w:b/>
              </w:rPr>
              <w:t xml:space="preserve">Prihod od </w:t>
            </w:r>
            <w:proofErr w:type="spellStart"/>
            <w:r w:rsidRPr="00937B59">
              <w:rPr>
                <w:b/>
              </w:rPr>
              <w:t>nefinanc.imovine</w:t>
            </w:r>
            <w:proofErr w:type="spellEnd"/>
            <w:r w:rsidRPr="00937B59">
              <w:rPr>
                <w:b/>
              </w:rPr>
              <w:t>-prodaje stanova (35%)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2923A5" w:rsidRDefault="002923A5" w:rsidP="00E301F2">
            <w:pPr>
              <w:tabs>
                <w:tab w:val="left" w:pos="627"/>
                <w:tab w:val="right" w:pos="8550"/>
              </w:tabs>
              <w:jc w:val="right"/>
            </w:pPr>
            <w:r>
              <w:rPr>
                <w:b/>
              </w:rPr>
              <w:t>1.442,00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2923A5" w:rsidRDefault="002923A5" w:rsidP="00E301F2">
            <w:pPr>
              <w:tabs>
                <w:tab w:val="left" w:pos="627"/>
                <w:tab w:val="right" w:pos="8550"/>
              </w:tabs>
            </w:pPr>
            <w:r>
              <w:t>Kn</w:t>
            </w:r>
          </w:p>
        </w:tc>
      </w:tr>
    </w:tbl>
    <w:p w:rsidR="00DF3B38" w:rsidRDefault="00DF3B38">
      <w:pPr>
        <w:tabs>
          <w:tab w:val="left" w:pos="627"/>
          <w:tab w:val="right" w:pos="8550"/>
        </w:tabs>
      </w:pPr>
    </w:p>
    <w:p w:rsidR="00DD7BEE" w:rsidRDefault="00DD7BEE" w:rsidP="00DD7BEE">
      <w:pPr>
        <w:ind w:firstLine="284"/>
      </w:pPr>
      <w:r>
        <w:t>U razdoblju od 1. siječnja do 31. prosinca 20</w:t>
      </w:r>
      <w:r w:rsidR="003D74FB">
        <w:t>20</w:t>
      </w:r>
      <w:r>
        <w:t xml:space="preserve">. Osnovna škola Đure </w:t>
      </w:r>
      <w:proofErr w:type="spellStart"/>
      <w:r>
        <w:t>Deželića</w:t>
      </w:r>
      <w:proofErr w:type="spellEnd"/>
      <w:r>
        <w:t xml:space="preserve">-Ivanić-Grad ostvarila je </w:t>
      </w:r>
      <w:r w:rsidRPr="00D2799A">
        <w:rPr>
          <w:b/>
          <w:color w:val="0070C0"/>
        </w:rPr>
        <w:t xml:space="preserve">ukupan </w:t>
      </w:r>
      <w:r>
        <w:rPr>
          <w:b/>
          <w:color w:val="0070C0"/>
        </w:rPr>
        <w:t>rashod</w:t>
      </w:r>
      <w:r w:rsidRPr="00D2799A">
        <w:rPr>
          <w:b/>
          <w:color w:val="0070C0"/>
        </w:rPr>
        <w:t xml:space="preserve"> u iznosu </w:t>
      </w:r>
      <w:r w:rsidR="00321E2A">
        <w:rPr>
          <w:b/>
          <w:color w:val="0070C0"/>
        </w:rPr>
        <w:t>8.347.914,08</w:t>
      </w:r>
      <w:r w:rsidRPr="00D2799A">
        <w:rPr>
          <w:b/>
          <w:color w:val="0070C0"/>
        </w:rPr>
        <w:t xml:space="preserve"> kn</w:t>
      </w:r>
      <w:r>
        <w:t xml:space="preserve"> (AOP 404) .</w:t>
      </w:r>
    </w:p>
    <w:p w:rsidR="00DD7BEE" w:rsidRDefault="00DD7BEE">
      <w:pPr>
        <w:tabs>
          <w:tab w:val="left" w:pos="627"/>
          <w:tab w:val="right" w:pos="8550"/>
        </w:tabs>
      </w:pPr>
    </w:p>
    <w:p w:rsidR="00DD7BEE" w:rsidRDefault="00DD7BEE">
      <w:pPr>
        <w:tabs>
          <w:tab w:val="left" w:pos="627"/>
          <w:tab w:val="right" w:pos="8550"/>
        </w:tabs>
      </w:pPr>
    </w:p>
    <w:p w:rsidR="00DD7BEE" w:rsidRDefault="00DD7BEE">
      <w:pPr>
        <w:tabs>
          <w:tab w:val="left" w:pos="627"/>
          <w:tab w:val="right" w:pos="8550"/>
        </w:tabs>
      </w:pPr>
    </w:p>
    <w:p w:rsidR="006041CF" w:rsidRDefault="00F4556D" w:rsidP="00F4556D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AOP 064: </w:t>
      </w:r>
      <w:r w:rsidR="00D2799A">
        <w:t>povećani prihodi</w:t>
      </w:r>
      <w:r>
        <w:t xml:space="preserve"> zbog </w:t>
      </w:r>
      <w:r w:rsidR="00EB2F7F">
        <w:t>povećanja plaća i naknada za zaposlenike</w:t>
      </w:r>
    </w:p>
    <w:p w:rsidR="001D1D13" w:rsidRDefault="00F4556D" w:rsidP="003635B6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>AOP</w:t>
      </w:r>
      <w:r w:rsidR="00D2799A">
        <w:t xml:space="preserve"> 105: </w:t>
      </w:r>
      <w:r w:rsidR="00D2799A" w:rsidRPr="007D7975">
        <w:t>smanjeni prihodi zbog</w:t>
      </w:r>
      <w:r w:rsidR="00EB2F7F">
        <w:t xml:space="preserve"> manje uplata za školsku kuhinju i</w:t>
      </w:r>
      <w:r w:rsidR="00FC6D61">
        <w:t xml:space="preserve"> </w:t>
      </w:r>
      <w:r w:rsidR="007D7975" w:rsidRPr="007D7975">
        <w:t>izlete</w:t>
      </w:r>
      <w:r w:rsidR="00EB2F7F">
        <w:t xml:space="preserve">-nastava na daljinu za dio </w:t>
      </w:r>
      <w:r w:rsidR="001D1D13">
        <w:t xml:space="preserve">    </w:t>
      </w:r>
    </w:p>
    <w:p w:rsidR="00F4556D" w:rsidRPr="007D7975" w:rsidRDefault="001D1D13" w:rsidP="001D1D13">
      <w:pPr>
        <w:pStyle w:val="Odlomakpopisa"/>
        <w:tabs>
          <w:tab w:val="left" w:pos="627"/>
          <w:tab w:val="right" w:pos="8550"/>
        </w:tabs>
      </w:pPr>
      <w:r>
        <w:t xml:space="preserve">                </w:t>
      </w:r>
      <w:r w:rsidR="00EB2F7F">
        <w:t xml:space="preserve">mjeseca ožujka, travanj, dio svibnja, </w:t>
      </w:r>
      <w:r w:rsidR="001D589A">
        <w:t>dio prosinca</w:t>
      </w:r>
    </w:p>
    <w:p w:rsidR="00D2799A" w:rsidRDefault="00D2799A" w:rsidP="001D1D13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>AOP 12</w:t>
      </w:r>
      <w:r w:rsidR="001D1D13">
        <w:t>6</w:t>
      </w:r>
      <w:r>
        <w:t xml:space="preserve">: vlastiti prihodi </w:t>
      </w:r>
      <w:r w:rsidR="001D1D13">
        <w:t>su na stavci prihoda od najma</w:t>
      </w:r>
    </w:p>
    <w:p w:rsidR="004952EE" w:rsidRDefault="00D2799A" w:rsidP="00F4556D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>AOP 12</w:t>
      </w:r>
      <w:r w:rsidR="001D1D13">
        <w:t>8,129</w:t>
      </w:r>
      <w:r>
        <w:t xml:space="preserve">: donacije od </w:t>
      </w:r>
      <w:r w:rsidR="001D1D13">
        <w:t>trgovačkih društava –sportska i glazbena oprema i SI</w:t>
      </w:r>
      <w:r w:rsidR="004952EE">
        <w:t xml:space="preserve"> </w:t>
      </w:r>
    </w:p>
    <w:p w:rsidR="00CC170F" w:rsidRPr="005F3131" w:rsidRDefault="00CC170F" w:rsidP="00D2799A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3131">
        <w:t>AOP 149: rashodi za zaposlene povećani zbog:</w:t>
      </w:r>
    </w:p>
    <w:p w:rsidR="001D1D13" w:rsidRDefault="00CC170F" w:rsidP="00CC170F">
      <w:pPr>
        <w:pStyle w:val="Odlomakpopisa"/>
        <w:tabs>
          <w:tab w:val="left" w:pos="627"/>
          <w:tab w:val="right" w:pos="8550"/>
        </w:tabs>
      </w:pPr>
      <w:r>
        <w:t xml:space="preserve">                 </w:t>
      </w:r>
      <w:r w:rsidR="00D14949">
        <w:t>-</w:t>
      </w:r>
      <w:r>
        <w:t xml:space="preserve"> povećan</w:t>
      </w:r>
      <w:r w:rsidR="001D1D13">
        <w:t xml:space="preserve">ja plaće prema kolektivnom ugovoru tijekom godine, </w:t>
      </w:r>
    </w:p>
    <w:p w:rsidR="00D2799A" w:rsidRDefault="001D1D13" w:rsidP="00D14949">
      <w:pPr>
        <w:pStyle w:val="Odlomakpopisa"/>
        <w:tabs>
          <w:tab w:val="left" w:pos="627"/>
          <w:tab w:val="right" w:pos="8550"/>
        </w:tabs>
      </w:pPr>
      <w:r>
        <w:t xml:space="preserve">                 </w:t>
      </w:r>
      <w:r w:rsidR="00D14949">
        <w:t>-</w:t>
      </w:r>
      <w:r>
        <w:t xml:space="preserve"> povećanog broja učitelja na zamjeni </w:t>
      </w:r>
    </w:p>
    <w:p w:rsidR="006D47C0" w:rsidRDefault="00CC170F" w:rsidP="00650401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AOP 160: materijalni rashodi </w:t>
      </w:r>
      <w:r w:rsidR="006D47C0">
        <w:t xml:space="preserve">u cjelini su na istoj razini kao i protekle godine, ali im je promijenjena s  </w:t>
      </w:r>
    </w:p>
    <w:p w:rsidR="00650401" w:rsidRDefault="006D47C0" w:rsidP="006D47C0">
      <w:pPr>
        <w:pStyle w:val="Odlomakpopisa"/>
        <w:tabs>
          <w:tab w:val="left" w:pos="627"/>
          <w:tab w:val="right" w:pos="8550"/>
        </w:tabs>
      </w:pPr>
      <w:r>
        <w:t xml:space="preserve">               struktura:</w:t>
      </w:r>
    </w:p>
    <w:p w:rsidR="00CC170F" w:rsidRDefault="00650401" w:rsidP="00CC170F">
      <w:pPr>
        <w:pStyle w:val="Odlomakpopisa"/>
        <w:tabs>
          <w:tab w:val="left" w:pos="627"/>
          <w:tab w:val="right" w:pos="8550"/>
        </w:tabs>
      </w:pPr>
      <w:r>
        <w:t xml:space="preserve">             </w:t>
      </w:r>
      <w:r w:rsidR="006D47C0">
        <w:t xml:space="preserve"> </w:t>
      </w:r>
      <w:r>
        <w:t xml:space="preserve"> </w:t>
      </w:r>
      <w:r w:rsidR="00D14949">
        <w:t>-</w:t>
      </w:r>
      <w:r w:rsidR="006D47C0">
        <w:t>umanjenje naknade</w:t>
      </w:r>
      <w:r w:rsidR="00CC170F">
        <w:t xml:space="preserve"> za prijevoz-</w:t>
      </w:r>
      <w:r w:rsidR="006D47C0">
        <w:t>rad od kuće-na daljinu, poštivanje epidemioloških mjera</w:t>
      </w:r>
    </w:p>
    <w:p w:rsidR="006D47C0" w:rsidRDefault="00650401" w:rsidP="00CC170F">
      <w:pPr>
        <w:pStyle w:val="Odlomakpopisa"/>
        <w:tabs>
          <w:tab w:val="left" w:pos="627"/>
          <w:tab w:val="right" w:pos="8550"/>
        </w:tabs>
      </w:pPr>
      <w:r>
        <w:t xml:space="preserve">             </w:t>
      </w:r>
      <w:r w:rsidR="006D47C0">
        <w:t xml:space="preserve"> </w:t>
      </w:r>
      <w:r>
        <w:t xml:space="preserve"> </w:t>
      </w:r>
      <w:r w:rsidR="00D14949">
        <w:t>-</w:t>
      </w:r>
      <w:r>
        <w:t xml:space="preserve">povećani </w:t>
      </w:r>
      <w:r w:rsidR="006D47C0">
        <w:t xml:space="preserve">rashodi za materijal-odnosi se na povećanu potrošnju sredstava za dezinfekciju,   </w:t>
      </w:r>
    </w:p>
    <w:p w:rsidR="00650401" w:rsidRDefault="006D47C0" w:rsidP="00CC170F">
      <w:pPr>
        <w:pStyle w:val="Odlomakpopisa"/>
        <w:tabs>
          <w:tab w:val="left" w:pos="627"/>
          <w:tab w:val="right" w:pos="8550"/>
        </w:tabs>
      </w:pPr>
      <w:r>
        <w:t xml:space="preserve">               </w:t>
      </w:r>
      <w:r w:rsidR="00D14949">
        <w:t>-</w:t>
      </w:r>
      <w:r>
        <w:t>osobnu higijenu i čišćenje</w:t>
      </w:r>
    </w:p>
    <w:p w:rsidR="006D47C0" w:rsidRDefault="00650401" w:rsidP="00CC170F">
      <w:pPr>
        <w:pStyle w:val="Odlomakpopisa"/>
        <w:tabs>
          <w:tab w:val="left" w:pos="627"/>
          <w:tab w:val="right" w:pos="8550"/>
        </w:tabs>
      </w:pPr>
      <w:r>
        <w:t xml:space="preserve">             </w:t>
      </w:r>
      <w:r w:rsidR="006D47C0">
        <w:t xml:space="preserve"> </w:t>
      </w:r>
      <w:r>
        <w:t xml:space="preserve"> </w:t>
      </w:r>
      <w:r w:rsidR="00D14949">
        <w:t>-</w:t>
      </w:r>
      <w:r w:rsidR="006D47C0">
        <w:t xml:space="preserve">umanjeni rashodi za usluge-odnosi se, prije svega, na umanjenje rashoda za prijevoz  </w:t>
      </w:r>
    </w:p>
    <w:p w:rsidR="00650401" w:rsidRPr="00477D88" w:rsidRDefault="006D47C0" w:rsidP="00CC170F">
      <w:pPr>
        <w:pStyle w:val="Odlomakpopisa"/>
        <w:tabs>
          <w:tab w:val="left" w:pos="627"/>
          <w:tab w:val="right" w:pos="8550"/>
        </w:tabs>
      </w:pPr>
      <w:r>
        <w:t xml:space="preserve">               </w:t>
      </w:r>
      <w:r w:rsidR="00D14949">
        <w:t>-</w:t>
      </w:r>
      <w:r>
        <w:t>učenika na izlete (zbog epidemioloških mjera)</w:t>
      </w:r>
    </w:p>
    <w:p w:rsidR="00DD7BEE" w:rsidRDefault="00CC170F" w:rsidP="009D2B33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AOP </w:t>
      </w:r>
      <w:r w:rsidR="00FC6D61">
        <w:t>2</w:t>
      </w:r>
      <w:r w:rsidR="00FB1AA1">
        <w:t>46</w:t>
      </w:r>
      <w:r>
        <w:t xml:space="preserve">: </w:t>
      </w:r>
      <w:r w:rsidR="00FB1AA1">
        <w:t>nema rashoda jer nije bilo financiranja radnih bilježnica i ostalih materijala za učenike</w:t>
      </w:r>
      <w:r w:rsidR="00FC6D61">
        <w:t xml:space="preserve">                 </w:t>
      </w:r>
    </w:p>
    <w:p w:rsidR="00FB1AA1" w:rsidRDefault="00DD7BEE" w:rsidP="00FB1AA1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AOP 341: rashodi za nabavku nefinancijske imovine znatno su </w:t>
      </w:r>
      <w:r w:rsidR="00FB1AA1">
        <w:t xml:space="preserve">povećani za 7% u odnosu na 2019, ali </w:t>
      </w:r>
    </w:p>
    <w:p w:rsidR="00DD7BEE" w:rsidRDefault="00FB1AA1" w:rsidP="00FB1AA1">
      <w:pPr>
        <w:pStyle w:val="Odlomakpopisa"/>
        <w:tabs>
          <w:tab w:val="left" w:pos="627"/>
          <w:tab w:val="right" w:pos="8550"/>
        </w:tabs>
      </w:pPr>
      <w:r>
        <w:t xml:space="preserve">               promijenjene strukture po visini udjela pojedinog rashoda:</w:t>
      </w:r>
    </w:p>
    <w:p w:rsidR="00FB1AA1" w:rsidRDefault="00FB1AA1" w:rsidP="00FB1AA1">
      <w:pPr>
        <w:pStyle w:val="Odlomakpopisa"/>
        <w:tabs>
          <w:tab w:val="left" w:pos="627"/>
          <w:tab w:val="right" w:pos="8550"/>
        </w:tabs>
      </w:pPr>
      <w:r>
        <w:t xml:space="preserve">                   -povećanje rashoda za uredsku opremu i namještaj zbog planiranje nabave ormarića za  </w:t>
      </w:r>
    </w:p>
    <w:p w:rsidR="00FB1AA1" w:rsidRDefault="00FB1AA1" w:rsidP="00FB1AA1">
      <w:pPr>
        <w:pStyle w:val="Odlomakpopisa"/>
        <w:tabs>
          <w:tab w:val="left" w:pos="627"/>
          <w:tab w:val="right" w:pos="8550"/>
        </w:tabs>
      </w:pPr>
      <w:r>
        <w:t xml:space="preserve">                    odlaganje osobnih stvari učenika (iz vlastitih sredstava)</w:t>
      </w:r>
    </w:p>
    <w:p w:rsidR="00FB1AA1" w:rsidRDefault="00FB1AA1" w:rsidP="00FB1AA1">
      <w:pPr>
        <w:tabs>
          <w:tab w:val="left" w:pos="627"/>
          <w:tab w:val="right" w:pos="8550"/>
        </w:tabs>
      </w:pPr>
      <w:r>
        <w:t xml:space="preserve">                               -umanjenje troškova za nabavu trajnih udžbenika </w:t>
      </w:r>
    </w:p>
    <w:p w:rsidR="00CC170F" w:rsidRDefault="00CC170F" w:rsidP="00CC170F">
      <w:pPr>
        <w:pStyle w:val="Odlomakpopisa"/>
        <w:tabs>
          <w:tab w:val="left" w:pos="627"/>
          <w:tab w:val="right" w:pos="8550"/>
        </w:tabs>
      </w:pPr>
      <w:r>
        <w:t xml:space="preserve">      </w:t>
      </w:r>
    </w:p>
    <w:p w:rsidR="00330908" w:rsidRDefault="00330908" w:rsidP="00994C84">
      <w:pPr>
        <w:jc w:val="both"/>
      </w:pPr>
      <w:r>
        <w:t xml:space="preserve">                         </w:t>
      </w:r>
    </w:p>
    <w:p w:rsidR="002D7598" w:rsidRPr="002D7598" w:rsidRDefault="00DD3855" w:rsidP="00433C6C">
      <w:pPr>
        <w:ind w:firstLine="284"/>
        <w:jc w:val="both"/>
      </w:pPr>
      <w:r w:rsidRPr="002D7598">
        <w:t>U 20</w:t>
      </w:r>
      <w:r w:rsidR="003D74FB" w:rsidRPr="002D7598">
        <w:t>20</w:t>
      </w:r>
      <w:r w:rsidRPr="002D7598">
        <w:t xml:space="preserve">. godini </w:t>
      </w:r>
      <w:r w:rsidR="00810D66" w:rsidRPr="002D7598">
        <w:t xml:space="preserve">izvršen je ispravak rezultata iz proteklih godina, na način da su prihodi od poslovanja umanjeni za </w:t>
      </w:r>
      <w:r w:rsidR="002D7598" w:rsidRPr="002D7598">
        <w:t xml:space="preserve"> 38.965,18 kn. Ispravci se odnose na usklađenje stanja sa HZZO, otkup stanova, ispravak salda dobavljača po usklađenju.</w:t>
      </w:r>
    </w:p>
    <w:p w:rsidR="004D1743" w:rsidRDefault="002D7598" w:rsidP="004D1743">
      <w:pPr>
        <w:jc w:val="both"/>
      </w:pPr>
      <w:r w:rsidRPr="002D7598">
        <w:t xml:space="preserve">U 2020.godini </w:t>
      </w:r>
      <w:r w:rsidR="00FC6D61" w:rsidRPr="002D7598">
        <w:t xml:space="preserve">ostvaren je </w:t>
      </w:r>
      <w:r w:rsidRPr="002D7598">
        <w:t>višak</w:t>
      </w:r>
      <w:r w:rsidR="00FC6D61" w:rsidRPr="002D7598">
        <w:t xml:space="preserve"> prihoda od poslovanja</w:t>
      </w:r>
      <w:r w:rsidR="006F06B6" w:rsidRPr="002D7598">
        <w:t xml:space="preserve"> </w:t>
      </w:r>
      <w:r w:rsidR="006041CF" w:rsidRPr="002D7598">
        <w:t xml:space="preserve">u iznosu od </w:t>
      </w:r>
      <w:r w:rsidRPr="002D7598">
        <w:t>179.717,41 kn</w:t>
      </w:r>
      <w:r w:rsidR="006F06B6" w:rsidRPr="002D7598">
        <w:t>.</w:t>
      </w:r>
      <w:r w:rsidR="003C6E5A" w:rsidRPr="002D7598">
        <w:t xml:space="preserve"> </w:t>
      </w:r>
    </w:p>
    <w:p w:rsidR="004D1743" w:rsidRDefault="004D1743" w:rsidP="004D1743">
      <w:pPr>
        <w:jc w:val="both"/>
      </w:pPr>
      <w:r w:rsidRPr="002D7598">
        <w:t>Manjak prihoda od nefinancijske imovine iznosi za 2020.godinu 349.210,85 kn</w:t>
      </w:r>
    </w:p>
    <w:p w:rsidR="004D1743" w:rsidRDefault="004D1743" w:rsidP="004D1743">
      <w:pPr>
        <w:jc w:val="both"/>
      </w:pPr>
      <w:r>
        <w:t xml:space="preserve">Rezultat za 2020.godinu je manjak u iznosu od 169.493,44 kn </w:t>
      </w:r>
    </w:p>
    <w:p w:rsidR="004D1743" w:rsidRDefault="004D1743" w:rsidP="004D1743">
      <w:pPr>
        <w:jc w:val="both"/>
      </w:pPr>
    </w:p>
    <w:p w:rsidR="006041CF" w:rsidRDefault="00FC6D61" w:rsidP="00FC6D61">
      <w:pPr>
        <w:jc w:val="both"/>
      </w:pPr>
      <w:r w:rsidRPr="002D7598">
        <w:t>Višak prihoda od poslovanja iz prethodnih godina korigiran je (</w:t>
      </w:r>
      <w:r w:rsidR="002D7598" w:rsidRPr="002D7598">
        <w:t>umanjen</w:t>
      </w:r>
      <w:r w:rsidRPr="002D7598">
        <w:t xml:space="preserve">) za iznos od </w:t>
      </w:r>
      <w:r w:rsidR="002D7598" w:rsidRPr="002D7598">
        <w:t>38.965,18</w:t>
      </w:r>
      <w:r w:rsidRPr="002D7598">
        <w:t xml:space="preserve"> kn  te </w:t>
      </w:r>
      <w:r w:rsidR="004D1743">
        <w:t xml:space="preserve">   </w:t>
      </w:r>
      <w:r w:rsidRPr="002D7598">
        <w:t xml:space="preserve">iznosi </w:t>
      </w:r>
      <w:r w:rsidR="002D7598" w:rsidRPr="002D7598">
        <w:t>330.083</w:t>
      </w:r>
      <w:r w:rsidR="004D1743">
        <w:t xml:space="preserve"> kn, a ukupan rezultat sa uključenim korigiranim viškom iz prethodnih godina </w:t>
      </w:r>
      <w:r w:rsidR="00DD7BEE" w:rsidRPr="002D7598">
        <w:t xml:space="preserve">iznosi </w:t>
      </w:r>
      <w:r w:rsidR="004D1743">
        <w:t>160.589,96</w:t>
      </w:r>
      <w:r w:rsidR="00DD7BEE" w:rsidRPr="002D7598">
        <w:t xml:space="preserve"> kn</w:t>
      </w:r>
      <w:r w:rsidR="004D1743">
        <w:t xml:space="preserve"> i iskazuje se kao višak poslovanja.</w:t>
      </w:r>
    </w:p>
    <w:p w:rsidR="00994C84" w:rsidRDefault="00994C84" w:rsidP="00291FC0">
      <w:pPr>
        <w:jc w:val="both"/>
      </w:pPr>
    </w:p>
    <w:p w:rsidR="00994C84" w:rsidRDefault="00994C84" w:rsidP="00291FC0">
      <w:pPr>
        <w:jc w:val="both"/>
      </w:pPr>
    </w:p>
    <w:p w:rsidR="00994C84" w:rsidRDefault="00994C84" w:rsidP="00291FC0">
      <w:pPr>
        <w:jc w:val="both"/>
      </w:pPr>
    </w:p>
    <w:p w:rsidR="00852AB2" w:rsidRDefault="00852AB2"/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4957A5" w:rsidRDefault="004957A5" w:rsidP="005E3C62">
      <w:pPr>
        <w:jc w:val="center"/>
        <w:rPr>
          <w:b/>
        </w:rPr>
      </w:pPr>
    </w:p>
    <w:p w:rsidR="005E3C62" w:rsidRDefault="005E3C62" w:rsidP="005E3C62">
      <w:pPr>
        <w:jc w:val="center"/>
        <w:rPr>
          <w:b/>
        </w:rPr>
      </w:pPr>
      <w:r>
        <w:rPr>
          <w:b/>
        </w:rPr>
        <w:t>BILJEŠKE UZ BILANCU</w:t>
      </w:r>
    </w:p>
    <w:p w:rsidR="005E3C62" w:rsidRDefault="005E3C62" w:rsidP="005E3C62">
      <w:pPr>
        <w:jc w:val="center"/>
      </w:pPr>
      <w:r>
        <w:t>(Obrazac: BIL)</w:t>
      </w:r>
    </w:p>
    <w:p w:rsidR="005E3C62" w:rsidRDefault="005E3C62" w:rsidP="005E3C62">
      <w:pPr>
        <w:jc w:val="center"/>
      </w:pPr>
      <w:r>
        <w:rPr>
          <w:b/>
          <w:bCs/>
        </w:rPr>
        <w:t>(1. siječnja do 31. prosinca 20</w:t>
      </w:r>
      <w:r w:rsidR="001E1EB8">
        <w:rPr>
          <w:b/>
          <w:bCs/>
        </w:rPr>
        <w:t>20</w:t>
      </w:r>
      <w:r>
        <w:rPr>
          <w:b/>
          <w:bCs/>
        </w:rPr>
        <w:t>.)</w:t>
      </w:r>
    </w:p>
    <w:p w:rsidR="005E3C62" w:rsidRDefault="005E3C62"/>
    <w:p w:rsidR="003340A1" w:rsidRDefault="001E1EB8" w:rsidP="001E1EB8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>AOP 002</w:t>
      </w:r>
      <w:r w:rsidR="003340A1">
        <w:t xml:space="preserve">: vrijednost nefinancijske imovine </w:t>
      </w:r>
      <w:r>
        <w:t xml:space="preserve">nije znatnije promijenjena. Porasla je vrijednost uredske opreme i namještaja (AOP 015) zbog nabavke ormarića za učenike, </w:t>
      </w:r>
      <w:r w:rsidR="001B09F3">
        <w:t>knjiga-zbog nabave novih udžbenika i knjiga za knjižnicu te ispravci vrijednosti zbog godišnjeg obračuna amortizacije.</w:t>
      </w:r>
    </w:p>
    <w:p w:rsidR="003340A1" w:rsidRDefault="003340A1" w:rsidP="003340A1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AOP </w:t>
      </w:r>
      <w:r w:rsidR="001B09F3">
        <w:t>063</w:t>
      </w:r>
      <w:r>
        <w:t xml:space="preserve">: </w:t>
      </w:r>
      <w:r w:rsidR="001B09F3">
        <w:t>stanje financijske imovine umanjeno je za 35% zbog nabavke i financiranja iz vlastitih sredstava ormarića za pohranu stvari za učenike (AOP 067). Ostala potraživanja umanjena su za 52%, a odnose se na usklađenje potraživanja od HZZO. Potraživanja od proizvedene dugotrajne imovine (AOP 160) umanjena su za 90% i odnose se na usklađenje i ispravak knjiženja potraživanja za otkup stanova.</w:t>
      </w:r>
    </w:p>
    <w:p w:rsidR="00E7305A" w:rsidRDefault="00E7305A" w:rsidP="003340A1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AOP </w:t>
      </w:r>
      <w:r w:rsidR="00810D66">
        <w:t>169</w:t>
      </w:r>
      <w:r>
        <w:t xml:space="preserve">: </w:t>
      </w:r>
      <w:r w:rsidR="00810D66">
        <w:t>obveze su umanjene za 20% zbog promjene načina i roka plaćanja dobavljača.</w:t>
      </w:r>
    </w:p>
    <w:p w:rsidR="00E7305A" w:rsidRDefault="00E7305A" w:rsidP="00E7305A">
      <w:pPr>
        <w:pStyle w:val="Odlomakpopisa"/>
        <w:tabs>
          <w:tab w:val="left" w:pos="627"/>
          <w:tab w:val="right" w:pos="8550"/>
        </w:tabs>
      </w:pPr>
    </w:p>
    <w:p w:rsidR="00E7305A" w:rsidRDefault="00E7305A" w:rsidP="00E7305A">
      <w:pPr>
        <w:pStyle w:val="Odlomakpopisa"/>
        <w:tabs>
          <w:tab w:val="left" w:pos="627"/>
          <w:tab w:val="right" w:pos="8550"/>
        </w:tabs>
      </w:pPr>
    </w:p>
    <w:p w:rsidR="00E7305A" w:rsidRDefault="00810D66" w:rsidP="00E7305A">
      <w:pPr>
        <w:pStyle w:val="Odlomakpopisa"/>
        <w:tabs>
          <w:tab w:val="left" w:pos="627"/>
          <w:tab w:val="right" w:pos="8550"/>
        </w:tabs>
      </w:pPr>
      <w:r>
        <w:t>Kako nije bilo potrebe za korekcijom rezultata poslovanja, rezultat za 2020 godinu iznosi:</w:t>
      </w:r>
      <w:r w:rsidR="00E7305A">
        <w:t xml:space="preserve"> </w:t>
      </w:r>
    </w:p>
    <w:p w:rsidR="004957A5" w:rsidRDefault="004957A5" w:rsidP="00E7305A">
      <w:pPr>
        <w:pStyle w:val="Odlomakpopisa"/>
        <w:tabs>
          <w:tab w:val="left" w:pos="627"/>
          <w:tab w:val="right" w:pos="8550"/>
        </w:tabs>
      </w:pPr>
      <w:r>
        <w:t>-višak prihoda</w:t>
      </w:r>
      <w:r w:rsidR="00321E2A">
        <w:t xml:space="preserve"> od poslovanja</w:t>
      </w:r>
      <w:r>
        <w:t xml:space="preserve">: </w:t>
      </w:r>
      <w:r w:rsidR="00810D66">
        <w:t>720.782</w:t>
      </w:r>
      <w:r>
        <w:t xml:space="preserve"> kn</w:t>
      </w:r>
    </w:p>
    <w:p w:rsidR="004957A5" w:rsidRDefault="004957A5" w:rsidP="00E7305A">
      <w:pPr>
        <w:pStyle w:val="Odlomakpopisa"/>
        <w:tabs>
          <w:tab w:val="left" w:pos="627"/>
          <w:tab w:val="right" w:pos="8550"/>
        </w:tabs>
      </w:pPr>
      <w:r>
        <w:t xml:space="preserve">-manjak prihoda od nefinancijske imovine: </w:t>
      </w:r>
      <w:r w:rsidR="00321E2A">
        <w:t>560.193</w:t>
      </w:r>
      <w:r>
        <w:t xml:space="preserve"> kn</w:t>
      </w:r>
    </w:p>
    <w:p w:rsidR="004957A5" w:rsidRDefault="004957A5" w:rsidP="00E7305A">
      <w:pPr>
        <w:pStyle w:val="Odlomakpopisa"/>
        <w:tabs>
          <w:tab w:val="left" w:pos="627"/>
          <w:tab w:val="right" w:pos="8550"/>
        </w:tabs>
      </w:pPr>
      <w:r>
        <w:t xml:space="preserve">-ukupan rezultat: </w:t>
      </w:r>
      <w:r w:rsidR="00321E2A">
        <w:t>160.589</w:t>
      </w:r>
      <w:r>
        <w:t xml:space="preserve"> kn</w:t>
      </w:r>
    </w:p>
    <w:p w:rsidR="00321E2A" w:rsidRDefault="00321E2A" w:rsidP="00E7305A">
      <w:pPr>
        <w:pStyle w:val="Odlomakpopisa"/>
        <w:tabs>
          <w:tab w:val="left" w:pos="627"/>
          <w:tab w:val="right" w:pos="8550"/>
        </w:tabs>
      </w:pPr>
    </w:p>
    <w:p w:rsidR="00321E2A" w:rsidRDefault="00321E2A" w:rsidP="00E7305A">
      <w:pPr>
        <w:pStyle w:val="Odlomakpopisa"/>
        <w:tabs>
          <w:tab w:val="left" w:pos="627"/>
          <w:tab w:val="right" w:pos="8550"/>
        </w:tabs>
      </w:pPr>
      <w:proofErr w:type="spellStart"/>
      <w:r>
        <w:t>Izvanbilančni</w:t>
      </w:r>
      <w:proofErr w:type="spellEnd"/>
      <w:r>
        <w:t xml:space="preserve"> zapisi (AOP 250) odnose se na vrijednost laptopa</w:t>
      </w:r>
      <w:bookmarkStart w:id="0" w:name="_GoBack"/>
      <w:bookmarkEnd w:id="0"/>
      <w:r>
        <w:t xml:space="preserve"> u vlasništvu MZO.</w:t>
      </w:r>
    </w:p>
    <w:p w:rsidR="00F34C32" w:rsidRDefault="00F34C32" w:rsidP="009412B8">
      <w:pPr>
        <w:ind w:left="-18"/>
      </w:pPr>
    </w:p>
    <w:p w:rsidR="00E35AD6" w:rsidRDefault="00E35AD6" w:rsidP="008837C0">
      <w:pPr>
        <w:ind w:left="-18"/>
        <w:jc w:val="both"/>
      </w:pPr>
    </w:p>
    <w:p w:rsidR="007E0277" w:rsidRDefault="007E0277" w:rsidP="007E0277">
      <w:bookmarkStart w:id="1" w:name="RANGE!A1:J27"/>
      <w:bookmarkEnd w:id="1"/>
      <w:r>
        <w:t xml:space="preserve">Ivanić-Gradu, </w:t>
      </w:r>
      <w:r w:rsidR="00D14949">
        <w:t>29</w:t>
      </w:r>
      <w:r>
        <w:t>. siječnja 20</w:t>
      </w:r>
      <w:r w:rsidR="00E7305A">
        <w:t>2</w:t>
      </w:r>
      <w:r w:rsidR="00D14949">
        <w:t>1</w:t>
      </w:r>
      <w:r>
        <w:t>.</w:t>
      </w:r>
    </w:p>
    <w:p w:rsidR="007E0277" w:rsidRDefault="007E0277" w:rsidP="007E0277"/>
    <w:p w:rsidR="007E0277" w:rsidRDefault="007E0277" w:rsidP="007E0277">
      <w:r>
        <w:t xml:space="preserve">Osoba za kontaktiranje: </w:t>
      </w:r>
      <w:r w:rsidR="00E7305A">
        <w:t xml:space="preserve">Katarina Bečić </w:t>
      </w:r>
      <w:proofErr w:type="spellStart"/>
      <w:r w:rsidR="00E7305A">
        <w:t>Mutvar</w:t>
      </w:r>
      <w:proofErr w:type="spellEnd"/>
    </w:p>
    <w:p w:rsidR="00E7305A" w:rsidRDefault="00E7305A" w:rsidP="007E0277">
      <w:r>
        <w:t>T:+385 1 2823 544</w:t>
      </w:r>
    </w:p>
    <w:p w:rsidR="00E7305A" w:rsidRDefault="00E7305A" w:rsidP="007E0277">
      <w:r>
        <w:t>M: + 385 99 84 888 99</w:t>
      </w:r>
    </w:p>
    <w:p w:rsidR="00E7305A" w:rsidRDefault="00E7305A" w:rsidP="007E0277">
      <w:r>
        <w:t>Mail: katarina.becic-mutvar@skole.hr.</w:t>
      </w:r>
    </w:p>
    <w:p w:rsidR="007E0277" w:rsidRDefault="007E0277" w:rsidP="007E0277">
      <w:pPr>
        <w:ind w:left="4248" w:firstLine="708"/>
        <w:jc w:val="center"/>
      </w:pPr>
      <w:r>
        <w:t>Zakonski predstavnik:</w:t>
      </w:r>
    </w:p>
    <w:p w:rsidR="00E62A10" w:rsidRDefault="007E0277" w:rsidP="007E0277">
      <w:pPr>
        <w:ind w:left="6372"/>
      </w:pPr>
      <w:r>
        <w:t xml:space="preserve">     </w:t>
      </w:r>
      <w:proofErr w:type="spellStart"/>
      <w:r>
        <w:t>Mileo</w:t>
      </w:r>
      <w:proofErr w:type="spellEnd"/>
      <w:r>
        <w:t xml:space="preserve"> </w:t>
      </w:r>
      <w:proofErr w:type="spellStart"/>
      <w:r>
        <w:t>Todić</w:t>
      </w:r>
      <w:proofErr w:type="spellEnd"/>
      <w:r w:rsidR="00387B1F">
        <w:t xml:space="preserve">, </w:t>
      </w:r>
      <w:proofErr w:type="spellStart"/>
      <w:r w:rsidR="00387B1F">
        <w:t>dipl.</w:t>
      </w:r>
      <w:r w:rsidR="005F3131">
        <w:t>teol</w:t>
      </w:r>
      <w:proofErr w:type="spellEnd"/>
      <w:r w:rsidR="005F3131">
        <w:t>.</w:t>
      </w:r>
    </w:p>
    <w:sectPr w:rsidR="00E62A10" w:rsidSect="00992A2C">
      <w:pgSz w:w="11907" w:h="16840" w:code="9"/>
      <w:pgMar w:top="1304" w:right="621" w:bottom="1021" w:left="85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342B6"/>
    <w:multiLevelType w:val="hybridMultilevel"/>
    <w:tmpl w:val="92DCA3D0"/>
    <w:lvl w:ilvl="0" w:tplc="B6520F7E">
      <w:start w:val="797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67D7794B"/>
    <w:multiLevelType w:val="hybridMultilevel"/>
    <w:tmpl w:val="18CCB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3"/>
    <w:rsid w:val="00000DBD"/>
    <w:rsid w:val="00001E95"/>
    <w:rsid w:val="0001557A"/>
    <w:rsid w:val="000247A4"/>
    <w:rsid w:val="0003746C"/>
    <w:rsid w:val="00047920"/>
    <w:rsid w:val="00063E41"/>
    <w:rsid w:val="00080CF4"/>
    <w:rsid w:val="000A332E"/>
    <w:rsid w:val="000A3900"/>
    <w:rsid w:val="000B296F"/>
    <w:rsid w:val="000B60C7"/>
    <w:rsid w:val="000C4C9B"/>
    <w:rsid w:val="000C71AC"/>
    <w:rsid w:val="000D3772"/>
    <w:rsid w:val="000D7AEF"/>
    <w:rsid w:val="000D7C1D"/>
    <w:rsid w:val="000E7FAF"/>
    <w:rsid w:val="00113458"/>
    <w:rsid w:val="00121547"/>
    <w:rsid w:val="001426E7"/>
    <w:rsid w:val="0015210C"/>
    <w:rsid w:val="00157B78"/>
    <w:rsid w:val="00192432"/>
    <w:rsid w:val="001932B1"/>
    <w:rsid w:val="001A66C0"/>
    <w:rsid w:val="001B09F3"/>
    <w:rsid w:val="001C7CC2"/>
    <w:rsid w:val="001D1D13"/>
    <w:rsid w:val="001D589A"/>
    <w:rsid w:val="001D6BCC"/>
    <w:rsid w:val="001E1EB8"/>
    <w:rsid w:val="001F5832"/>
    <w:rsid w:val="002051B9"/>
    <w:rsid w:val="00206185"/>
    <w:rsid w:val="00220B37"/>
    <w:rsid w:val="00223D86"/>
    <w:rsid w:val="0023384C"/>
    <w:rsid w:val="00255F0C"/>
    <w:rsid w:val="00291FC0"/>
    <w:rsid w:val="002923A5"/>
    <w:rsid w:val="002940F5"/>
    <w:rsid w:val="002950FA"/>
    <w:rsid w:val="00297348"/>
    <w:rsid w:val="002A627C"/>
    <w:rsid w:val="002B1423"/>
    <w:rsid w:val="002D7598"/>
    <w:rsid w:val="002E6A6D"/>
    <w:rsid w:val="002F6DCF"/>
    <w:rsid w:val="003002D0"/>
    <w:rsid w:val="0031530C"/>
    <w:rsid w:val="00321E2A"/>
    <w:rsid w:val="00330908"/>
    <w:rsid w:val="003340A1"/>
    <w:rsid w:val="003532F3"/>
    <w:rsid w:val="003541B8"/>
    <w:rsid w:val="003813B3"/>
    <w:rsid w:val="00387B1F"/>
    <w:rsid w:val="00387D86"/>
    <w:rsid w:val="003B37FB"/>
    <w:rsid w:val="003C1204"/>
    <w:rsid w:val="003C6E5A"/>
    <w:rsid w:val="003D43FF"/>
    <w:rsid w:val="003D74FB"/>
    <w:rsid w:val="003E5207"/>
    <w:rsid w:val="003F5F2C"/>
    <w:rsid w:val="00411332"/>
    <w:rsid w:val="004248D9"/>
    <w:rsid w:val="00433C6C"/>
    <w:rsid w:val="004408B6"/>
    <w:rsid w:val="00476732"/>
    <w:rsid w:val="00477D88"/>
    <w:rsid w:val="004952EE"/>
    <w:rsid w:val="004957A5"/>
    <w:rsid w:val="004B00F2"/>
    <w:rsid w:val="004C6A4E"/>
    <w:rsid w:val="004D1743"/>
    <w:rsid w:val="00502D8A"/>
    <w:rsid w:val="0050653B"/>
    <w:rsid w:val="00512C95"/>
    <w:rsid w:val="00517B4F"/>
    <w:rsid w:val="005214F4"/>
    <w:rsid w:val="00524B59"/>
    <w:rsid w:val="00553746"/>
    <w:rsid w:val="00556BD8"/>
    <w:rsid w:val="00581C7E"/>
    <w:rsid w:val="00583C27"/>
    <w:rsid w:val="005869C9"/>
    <w:rsid w:val="005B135E"/>
    <w:rsid w:val="005B2C7E"/>
    <w:rsid w:val="005B7003"/>
    <w:rsid w:val="005D0F33"/>
    <w:rsid w:val="005E3C62"/>
    <w:rsid w:val="005F3131"/>
    <w:rsid w:val="005F5178"/>
    <w:rsid w:val="006041CF"/>
    <w:rsid w:val="0060529B"/>
    <w:rsid w:val="006157AF"/>
    <w:rsid w:val="00650401"/>
    <w:rsid w:val="006525A1"/>
    <w:rsid w:val="0065390C"/>
    <w:rsid w:val="00660D5D"/>
    <w:rsid w:val="00665EA3"/>
    <w:rsid w:val="00672E51"/>
    <w:rsid w:val="0068569A"/>
    <w:rsid w:val="00696FB7"/>
    <w:rsid w:val="006C6FC7"/>
    <w:rsid w:val="006D47C0"/>
    <w:rsid w:val="006E2695"/>
    <w:rsid w:val="006E61BE"/>
    <w:rsid w:val="006F06B6"/>
    <w:rsid w:val="007111C2"/>
    <w:rsid w:val="00722EAF"/>
    <w:rsid w:val="007558B9"/>
    <w:rsid w:val="00755963"/>
    <w:rsid w:val="007622EC"/>
    <w:rsid w:val="00765932"/>
    <w:rsid w:val="00767BCF"/>
    <w:rsid w:val="0077064F"/>
    <w:rsid w:val="00773972"/>
    <w:rsid w:val="0078061D"/>
    <w:rsid w:val="00785A78"/>
    <w:rsid w:val="007914E6"/>
    <w:rsid w:val="007A6F90"/>
    <w:rsid w:val="007B4D6D"/>
    <w:rsid w:val="007B5FE5"/>
    <w:rsid w:val="007D7975"/>
    <w:rsid w:val="007E0277"/>
    <w:rsid w:val="007E4734"/>
    <w:rsid w:val="007E61EA"/>
    <w:rsid w:val="007F2CBB"/>
    <w:rsid w:val="00810D66"/>
    <w:rsid w:val="008173EA"/>
    <w:rsid w:val="00824B70"/>
    <w:rsid w:val="00824C49"/>
    <w:rsid w:val="00852AB2"/>
    <w:rsid w:val="00862F42"/>
    <w:rsid w:val="0086581D"/>
    <w:rsid w:val="008837C0"/>
    <w:rsid w:val="008B5837"/>
    <w:rsid w:val="008B6F34"/>
    <w:rsid w:val="008C0A59"/>
    <w:rsid w:val="009017BB"/>
    <w:rsid w:val="0090257D"/>
    <w:rsid w:val="009245DA"/>
    <w:rsid w:val="009358CD"/>
    <w:rsid w:val="00937B59"/>
    <w:rsid w:val="009412B8"/>
    <w:rsid w:val="00945CF0"/>
    <w:rsid w:val="00950573"/>
    <w:rsid w:val="00962B59"/>
    <w:rsid w:val="00992A2C"/>
    <w:rsid w:val="00992EE8"/>
    <w:rsid w:val="00994C84"/>
    <w:rsid w:val="00997342"/>
    <w:rsid w:val="009C4A5A"/>
    <w:rsid w:val="009C6EBE"/>
    <w:rsid w:val="009F01A8"/>
    <w:rsid w:val="009F2086"/>
    <w:rsid w:val="009F655A"/>
    <w:rsid w:val="00A04ED1"/>
    <w:rsid w:val="00A24597"/>
    <w:rsid w:val="00A26273"/>
    <w:rsid w:val="00A45D2E"/>
    <w:rsid w:val="00A57B01"/>
    <w:rsid w:val="00A61E29"/>
    <w:rsid w:val="00A75401"/>
    <w:rsid w:val="00A91A30"/>
    <w:rsid w:val="00A97B38"/>
    <w:rsid w:val="00AA7017"/>
    <w:rsid w:val="00AF4662"/>
    <w:rsid w:val="00B25381"/>
    <w:rsid w:val="00B269F3"/>
    <w:rsid w:val="00B4310C"/>
    <w:rsid w:val="00B6026A"/>
    <w:rsid w:val="00C079B6"/>
    <w:rsid w:val="00C13B93"/>
    <w:rsid w:val="00C1778B"/>
    <w:rsid w:val="00C9611D"/>
    <w:rsid w:val="00CA3A59"/>
    <w:rsid w:val="00CB034D"/>
    <w:rsid w:val="00CC170F"/>
    <w:rsid w:val="00CC3E40"/>
    <w:rsid w:val="00CE038F"/>
    <w:rsid w:val="00CE69B2"/>
    <w:rsid w:val="00CE6C33"/>
    <w:rsid w:val="00D033BD"/>
    <w:rsid w:val="00D04835"/>
    <w:rsid w:val="00D14949"/>
    <w:rsid w:val="00D2799A"/>
    <w:rsid w:val="00D30095"/>
    <w:rsid w:val="00D57506"/>
    <w:rsid w:val="00D6176B"/>
    <w:rsid w:val="00D63A8C"/>
    <w:rsid w:val="00D840C8"/>
    <w:rsid w:val="00D86FC3"/>
    <w:rsid w:val="00D9371C"/>
    <w:rsid w:val="00DA2202"/>
    <w:rsid w:val="00DD3589"/>
    <w:rsid w:val="00DD3855"/>
    <w:rsid w:val="00DD7BEE"/>
    <w:rsid w:val="00DE109F"/>
    <w:rsid w:val="00DE2DFD"/>
    <w:rsid w:val="00DF3B38"/>
    <w:rsid w:val="00DF420B"/>
    <w:rsid w:val="00DF4B0E"/>
    <w:rsid w:val="00E15C3E"/>
    <w:rsid w:val="00E301F2"/>
    <w:rsid w:val="00E35AD6"/>
    <w:rsid w:val="00E42850"/>
    <w:rsid w:val="00E55E79"/>
    <w:rsid w:val="00E62A10"/>
    <w:rsid w:val="00E7305A"/>
    <w:rsid w:val="00E915AE"/>
    <w:rsid w:val="00E924CC"/>
    <w:rsid w:val="00EB2F7F"/>
    <w:rsid w:val="00EC2496"/>
    <w:rsid w:val="00EC4070"/>
    <w:rsid w:val="00EE1FC2"/>
    <w:rsid w:val="00EE7E57"/>
    <w:rsid w:val="00EF13C6"/>
    <w:rsid w:val="00EF250D"/>
    <w:rsid w:val="00EF3EFE"/>
    <w:rsid w:val="00EF4E0F"/>
    <w:rsid w:val="00F20717"/>
    <w:rsid w:val="00F24724"/>
    <w:rsid w:val="00F24F0C"/>
    <w:rsid w:val="00F34C32"/>
    <w:rsid w:val="00F4556D"/>
    <w:rsid w:val="00F609B0"/>
    <w:rsid w:val="00F761D5"/>
    <w:rsid w:val="00F94368"/>
    <w:rsid w:val="00FA162A"/>
    <w:rsid w:val="00FA5A8E"/>
    <w:rsid w:val="00FB1AA1"/>
    <w:rsid w:val="00FC040D"/>
    <w:rsid w:val="00FC0D1F"/>
    <w:rsid w:val="00FC4322"/>
    <w:rsid w:val="00FC66E3"/>
    <w:rsid w:val="00FC6D61"/>
    <w:rsid w:val="00FD5583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30696-98D1-46FE-9F43-A959D783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92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4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9D472-C70B-43EB-85E7-19967526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806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Home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HP</cp:lastModifiedBy>
  <cp:revision>13</cp:revision>
  <cp:lastPrinted>2020-01-31T07:23:00Z</cp:lastPrinted>
  <dcterms:created xsi:type="dcterms:W3CDTF">2021-01-29T07:13:00Z</dcterms:created>
  <dcterms:modified xsi:type="dcterms:W3CDTF">2021-01-29T12:05:00Z</dcterms:modified>
</cp:coreProperties>
</file>