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81785" w14:textId="34D0BD1E" w:rsidR="00DE426A" w:rsidRDefault="00DE426A" w:rsidP="008E5CE4">
      <w:pPr>
        <w:rPr>
          <w:lang w:val="hr-HR"/>
        </w:rPr>
      </w:pPr>
      <w:r>
        <w:rPr>
          <w:lang w:val="hr-HR"/>
        </w:rPr>
        <w:t>OSNOVNA ŠKOLA IVANA FILIPOVIĆA</w:t>
      </w:r>
    </w:p>
    <w:p w14:paraId="0A2B2901" w14:textId="46F3F2C0" w:rsidR="00DE426A" w:rsidRDefault="00DE426A" w:rsidP="008E5CE4">
      <w:pPr>
        <w:rPr>
          <w:lang w:val="hr-HR"/>
        </w:rPr>
      </w:pPr>
      <w:r>
        <w:rPr>
          <w:lang w:val="hr-HR"/>
        </w:rPr>
        <w:t>OSIJEK, KALNIČKA 48</w:t>
      </w:r>
    </w:p>
    <w:p w14:paraId="4DAA1535" w14:textId="1F169C91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 xml:space="preserve">KLASA: </w:t>
      </w:r>
      <w:r w:rsidR="00DE426A">
        <w:rPr>
          <w:lang w:val="hr-HR"/>
        </w:rPr>
        <w:t>112-01/21-02/06</w:t>
      </w:r>
    </w:p>
    <w:p w14:paraId="10FC8413" w14:textId="41811DF9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 xml:space="preserve">URBROJ: </w:t>
      </w:r>
      <w:r w:rsidR="00DE426A">
        <w:rPr>
          <w:lang w:val="hr-HR"/>
        </w:rPr>
        <w:t>2158-22-01-21-04</w:t>
      </w:r>
      <w:bookmarkStart w:id="0" w:name="_GoBack"/>
      <w:bookmarkEnd w:id="0"/>
      <w:r w:rsidR="00DE426A">
        <w:rPr>
          <w:lang w:val="hr-HR"/>
        </w:rPr>
        <w:t xml:space="preserve"> </w:t>
      </w:r>
    </w:p>
    <w:p w14:paraId="42637D02" w14:textId="77777777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Osijek, 15. studenog 2021.</w:t>
      </w:r>
    </w:p>
    <w:p w14:paraId="7DBF80BA" w14:textId="77777777" w:rsidR="008E5CE4" w:rsidRPr="00B569BC" w:rsidRDefault="008E5CE4" w:rsidP="008E5CE4">
      <w:pPr>
        <w:rPr>
          <w:lang w:val="hr-HR"/>
        </w:rPr>
      </w:pPr>
    </w:p>
    <w:p w14:paraId="36BA58F4" w14:textId="77777777" w:rsidR="008E5CE4" w:rsidRPr="00B569BC" w:rsidRDefault="008E5CE4" w:rsidP="008E5CE4">
      <w:pPr>
        <w:rPr>
          <w:lang w:val="hr-HR"/>
        </w:rPr>
      </w:pPr>
    </w:p>
    <w:p w14:paraId="25F36C5F" w14:textId="6F1A5436" w:rsidR="008E5CE4" w:rsidRPr="00B569BC" w:rsidRDefault="008E5CE4" w:rsidP="008E5CE4">
      <w:pPr>
        <w:ind w:firstLine="720"/>
        <w:jc w:val="both"/>
        <w:rPr>
          <w:lang w:val="hr-HR"/>
        </w:rPr>
      </w:pPr>
      <w:r w:rsidRPr="00B569BC">
        <w:rPr>
          <w:lang w:val="hr-HR"/>
        </w:rPr>
        <w:t xml:space="preserve">Povjerenstvo za vrednovanje kandidata prijavljenih na natječaj za radno mjesto </w:t>
      </w:r>
      <w:r w:rsidRPr="00B569BC">
        <w:rPr>
          <w:b/>
          <w:bCs/>
          <w:lang w:val="hr-HR"/>
        </w:rPr>
        <w:t>učitelj razredne nastave za rad u produženom boravku na puno neodređeno radno vrijeme – upražnjeni poslovi</w:t>
      </w:r>
      <w:r w:rsidRPr="00B569BC">
        <w:rPr>
          <w:lang w:val="hr-HR"/>
        </w:rPr>
        <w:t>, koji je objavljen dana 28. listopada 2021. na mrežnoj stranici i oglasnoj ploči Hrvatskog zavoda za zapošljavanje, te mrežnoj stranici i oglasnoj ploči Osnovne škole Ivana Filipovića objavljuje:             </w:t>
      </w:r>
    </w:p>
    <w:p w14:paraId="0691494A" w14:textId="77777777" w:rsidR="008E5CE4" w:rsidRPr="00B569BC" w:rsidRDefault="008E5CE4" w:rsidP="008E5CE4">
      <w:pPr>
        <w:rPr>
          <w:b/>
          <w:lang w:val="hr-HR"/>
        </w:rPr>
      </w:pPr>
      <w:r w:rsidRPr="00B569BC">
        <w:rPr>
          <w:lang w:val="hr-HR"/>
        </w:rPr>
        <w:t> </w:t>
      </w:r>
    </w:p>
    <w:p w14:paraId="0EB54805" w14:textId="77777777" w:rsidR="008E5CE4" w:rsidRPr="00B569BC" w:rsidRDefault="008E5CE4" w:rsidP="008E5CE4">
      <w:pPr>
        <w:jc w:val="center"/>
        <w:rPr>
          <w:b/>
          <w:lang w:val="hr-HR"/>
        </w:rPr>
      </w:pPr>
    </w:p>
    <w:p w14:paraId="5B989AC4" w14:textId="77777777" w:rsidR="008E5CE4" w:rsidRPr="00B569BC" w:rsidRDefault="008E5CE4" w:rsidP="008E5CE4">
      <w:pPr>
        <w:jc w:val="center"/>
        <w:rPr>
          <w:b/>
          <w:lang w:val="hr-HR"/>
        </w:rPr>
      </w:pPr>
      <w:r w:rsidRPr="00B569BC">
        <w:rPr>
          <w:b/>
          <w:lang w:val="hr-HR"/>
        </w:rPr>
        <w:t xml:space="preserve">POZIV </w:t>
      </w:r>
    </w:p>
    <w:p w14:paraId="08763ED4" w14:textId="77777777" w:rsidR="008E5CE4" w:rsidRPr="00B569BC" w:rsidRDefault="008E5CE4" w:rsidP="008E5CE4">
      <w:pPr>
        <w:jc w:val="center"/>
        <w:rPr>
          <w:b/>
          <w:lang w:val="hr-HR"/>
        </w:rPr>
      </w:pPr>
      <w:r w:rsidRPr="00B569BC">
        <w:rPr>
          <w:b/>
          <w:lang w:val="hr-HR"/>
        </w:rPr>
        <w:t xml:space="preserve">NA PISANU PROVJERU ZNANJA - TESTIRANJE KANDIDATA, </w:t>
      </w:r>
    </w:p>
    <w:p w14:paraId="3B54F487" w14:textId="77777777" w:rsidR="008E5CE4" w:rsidRPr="00B569BC" w:rsidRDefault="008E5CE4" w:rsidP="008E5CE4">
      <w:pPr>
        <w:jc w:val="center"/>
        <w:rPr>
          <w:b/>
          <w:lang w:val="hr-HR"/>
        </w:rPr>
      </w:pPr>
      <w:r w:rsidRPr="00B569BC">
        <w:rPr>
          <w:b/>
          <w:lang w:val="hr-HR"/>
        </w:rPr>
        <w:t xml:space="preserve">PODRUČJA PROVJERE, TE </w:t>
      </w:r>
    </w:p>
    <w:p w14:paraId="4535AAA5" w14:textId="77777777" w:rsidR="008E5CE4" w:rsidRPr="00B569BC" w:rsidRDefault="008E5CE4" w:rsidP="008E5CE4">
      <w:pPr>
        <w:jc w:val="center"/>
        <w:rPr>
          <w:b/>
          <w:lang w:val="hr-HR"/>
        </w:rPr>
      </w:pPr>
      <w:r w:rsidRPr="00B569BC">
        <w:rPr>
          <w:b/>
          <w:lang w:val="hr-HR"/>
        </w:rPr>
        <w:t>PRAVNE  I DRUGE  IZVORE  ZA  PRIPREMANJE  KANDIDATA ZA VREDNOVANJE</w:t>
      </w:r>
    </w:p>
    <w:p w14:paraId="36E06059" w14:textId="77777777" w:rsidR="008E5CE4" w:rsidRPr="00B569BC" w:rsidRDefault="008E5CE4" w:rsidP="008E5CE4">
      <w:pPr>
        <w:rPr>
          <w:lang w:val="hr-HR"/>
        </w:rPr>
      </w:pPr>
    </w:p>
    <w:p w14:paraId="58DCF918" w14:textId="77777777" w:rsidR="008E5CE4" w:rsidRPr="00B569BC" w:rsidRDefault="008E5CE4" w:rsidP="008E5CE4">
      <w:pPr>
        <w:rPr>
          <w:lang w:val="hr-HR"/>
        </w:rPr>
      </w:pPr>
    </w:p>
    <w:p w14:paraId="304CE17D" w14:textId="77777777" w:rsidR="008E5CE4" w:rsidRPr="00B569BC" w:rsidRDefault="008E5CE4" w:rsidP="008E5CE4">
      <w:pPr>
        <w:jc w:val="center"/>
        <w:rPr>
          <w:lang w:val="hr-HR"/>
        </w:rPr>
      </w:pPr>
      <w:r w:rsidRPr="00B569BC">
        <w:rPr>
          <w:b/>
          <w:lang w:val="hr-HR"/>
        </w:rPr>
        <w:t>TESTIRANJE KANDIDATA</w:t>
      </w:r>
      <w:r w:rsidRPr="00B569BC">
        <w:rPr>
          <w:lang w:val="hr-HR"/>
        </w:rPr>
        <w:t xml:space="preserve"> održat će se dana </w:t>
      </w:r>
    </w:p>
    <w:p w14:paraId="1073551A" w14:textId="727E311C" w:rsidR="008E5CE4" w:rsidRPr="00B569BC" w:rsidRDefault="00430DB4" w:rsidP="008E5CE4">
      <w:pPr>
        <w:jc w:val="center"/>
        <w:rPr>
          <w:color w:val="FF0000"/>
          <w:lang w:val="hr-HR"/>
        </w:rPr>
      </w:pPr>
      <w:r>
        <w:rPr>
          <w:b/>
          <w:color w:val="FF0000"/>
          <w:lang w:val="hr-HR"/>
        </w:rPr>
        <w:t xml:space="preserve">24. </w:t>
      </w:r>
      <w:r w:rsidR="008E5CE4" w:rsidRPr="00B569BC">
        <w:rPr>
          <w:b/>
          <w:color w:val="FF0000"/>
          <w:lang w:val="hr-HR"/>
        </w:rPr>
        <w:t xml:space="preserve">studenog 2021. godine, s početkom u </w:t>
      </w:r>
      <w:r>
        <w:rPr>
          <w:b/>
          <w:color w:val="FF0000"/>
          <w:lang w:val="hr-HR"/>
        </w:rPr>
        <w:t xml:space="preserve">9, 40 </w:t>
      </w:r>
      <w:r w:rsidR="008E5CE4" w:rsidRPr="00B569BC">
        <w:rPr>
          <w:b/>
          <w:color w:val="FF0000"/>
          <w:lang w:val="hr-HR"/>
        </w:rPr>
        <w:t>sati</w:t>
      </w:r>
      <w:r w:rsidR="008E5CE4" w:rsidRPr="00B569BC">
        <w:rPr>
          <w:color w:val="FF0000"/>
          <w:lang w:val="hr-HR"/>
        </w:rPr>
        <w:t>,</w:t>
      </w:r>
    </w:p>
    <w:p w14:paraId="33946E02" w14:textId="77777777" w:rsidR="008E5CE4" w:rsidRPr="00B569BC" w:rsidRDefault="008E5CE4" w:rsidP="008E5CE4">
      <w:pPr>
        <w:jc w:val="center"/>
        <w:rPr>
          <w:lang w:val="hr-HR"/>
        </w:rPr>
      </w:pPr>
      <w:r w:rsidRPr="00B569BC">
        <w:rPr>
          <w:lang w:val="hr-HR"/>
        </w:rPr>
        <w:t>u Osnovnoj školi Ivana Filipovića</w:t>
      </w:r>
    </w:p>
    <w:p w14:paraId="604D18F8" w14:textId="77777777" w:rsidR="008E5CE4" w:rsidRPr="00B569BC" w:rsidRDefault="008E5CE4" w:rsidP="008E5CE4">
      <w:pPr>
        <w:jc w:val="center"/>
        <w:rPr>
          <w:lang w:val="hr-HR"/>
        </w:rPr>
      </w:pPr>
    </w:p>
    <w:p w14:paraId="08C3BE8F" w14:textId="00635EB2" w:rsidR="008E5CE4" w:rsidRPr="00196FF2" w:rsidRDefault="008E5CE4" w:rsidP="008E5CE4">
      <w:pPr>
        <w:jc w:val="center"/>
        <w:rPr>
          <w:color w:val="FF0000"/>
          <w:lang w:val="hr-HR"/>
        </w:rPr>
      </w:pPr>
      <w:r w:rsidRPr="00196FF2">
        <w:rPr>
          <w:color w:val="FF0000"/>
          <w:lang w:val="hr-HR"/>
        </w:rPr>
        <w:t xml:space="preserve">Testiranje će se obaviti u skladu s epidemiološkim mjerama. Obvezno nošenje maski i pisanje vlastitom kemijskom olovkom. </w:t>
      </w:r>
    </w:p>
    <w:p w14:paraId="58722CF8" w14:textId="77777777" w:rsidR="008E5CE4" w:rsidRPr="00B569BC" w:rsidRDefault="008E5CE4" w:rsidP="008E5CE4">
      <w:pPr>
        <w:rPr>
          <w:color w:val="FF0000"/>
          <w:lang w:val="hr-HR"/>
        </w:rPr>
      </w:pPr>
      <w:r w:rsidRPr="00B569BC">
        <w:rPr>
          <w:color w:val="FF0000"/>
          <w:lang w:val="hr-HR"/>
        </w:rPr>
        <w:t> </w:t>
      </w:r>
    </w:p>
    <w:p w14:paraId="2F3408B3" w14:textId="3CA687CF" w:rsidR="008E5CE4" w:rsidRPr="00196FF2" w:rsidRDefault="00430DB4" w:rsidP="00196FF2">
      <w:pPr>
        <w:pStyle w:val="Odlomakpopisa"/>
        <w:numPr>
          <w:ilvl w:val="0"/>
          <w:numId w:val="1"/>
        </w:numPr>
        <w:jc w:val="both"/>
        <w:rPr>
          <w:b/>
          <w:bCs/>
          <w:lang w:val="hr-HR"/>
        </w:rPr>
      </w:pPr>
      <w:r w:rsidRPr="00196FF2">
        <w:rPr>
          <w:b/>
          <w:bCs/>
          <w:lang w:val="hr-HR"/>
        </w:rPr>
        <w:t xml:space="preserve">9, 25 </w:t>
      </w:r>
      <w:r w:rsidR="008E5CE4" w:rsidRPr="00196FF2">
        <w:rPr>
          <w:b/>
          <w:bCs/>
          <w:lang w:val="hr-HR"/>
        </w:rPr>
        <w:t xml:space="preserve">– mjerenje temperature pri dolasku kandidata (kandidat s povišenom temperaturom ne može pristupiti testiranju), utvrđivanje identiteta i popisa kandidata. </w:t>
      </w:r>
    </w:p>
    <w:p w14:paraId="46A2F1E2" w14:textId="77777777" w:rsidR="00196FF2" w:rsidRPr="00F53219" w:rsidRDefault="00196FF2" w:rsidP="00196FF2">
      <w:pPr>
        <w:pStyle w:val="Odlomakpopisa"/>
        <w:jc w:val="both"/>
        <w:rPr>
          <w:b/>
          <w:bCs/>
          <w:lang w:val="hr-HR"/>
        </w:rPr>
      </w:pPr>
      <w:r w:rsidRPr="00F53219">
        <w:rPr>
          <w:b/>
          <w:bCs/>
          <w:lang w:val="hr-HR"/>
        </w:rPr>
        <w:t>Svaki kandidat dužan je predočiti i dokaz za jedno od navedenoga (inače neće moći ući u prostor škole).</w:t>
      </w:r>
    </w:p>
    <w:p w14:paraId="74263D85" w14:textId="77777777" w:rsidR="00196FF2" w:rsidRDefault="00196FF2" w:rsidP="00196FF2">
      <w:pPr>
        <w:pStyle w:val="box468870"/>
        <w:numPr>
          <w:ilvl w:val="0"/>
          <w:numId w:val="6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 da su preboljele bolest COVID-19 i dijagnoza im je postavljena na temelju brzog antigenskog testa unazad 12 mjeseci, dokazuju potvrdom liječnika primarne zdravstvene zaštite koju isti izdaje na temelju nalaza brzog antigenskog testa</w:t>
      </w:r>
    </w:p>
    <w:p w14:paraId="7A131006" w14:textId="77777777" w:rsidR="00196FF2" w:rsidRDefault="00196FF2" w:rsidP="00196FF2">
      <w:pPr>
        <w:pStyle w:val="box468870"/>
        <w:numPr>
          <w:ilvl w:val="0"/>
          <w:numId w:val="6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 da su imale dijagnosticirane COVID bolesnike u obitelji i imale su s tim oboljelima kontakte, proglašavane su takozvanim vjerojatnim slučajem te im bolest nije dijagnosticirana laboratorijskim testom, dokazuju potvrdom liječnika primarne zdravstvene zaštite o </w:t>
      </w:r>
      <w:proofErr w:type="spellStart"/>
      <w:r>
        <w:rPr>
          <w:color w:val="231F20"/>
        </w:rPr>
        <w:t>preboljenju</w:t>
      </w:r>
      <w:proofErr w:type="spellEnd"/>
      <w:r>
        <w:rPr>
          <w:color w:val="231F20"/>
        </w:rPr>
        <w:t xml:space="preserve"> unutar 12 mjeseci, a na temelju medicinske dokumentacije</w:t>
      </w:r>
    </w:p>
    <w:p w14:paraId="485AA7FF" w14:textId="77777777" w:rsidR="00196FF2" w:rsidRDefault="00196FF2" w:rsidP="00196FF2">
      <w:pPr>
        <w:pStyle w:val="box468870"/>
        <w:numPr>
          <w:ilvl w:val="0"/>
          <w:numId w:val="6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da im je bolest COVID-19 dijagnosticirana PCR testom prije više od 6 mjeseci, a manje od 12 mjeseci, dokazuju potvrdom o </w:t>
      </w:r>
      <w:proofErr w:type="spellStart"/>
      <w:r>
        <w:rPr>
          <w:color w:val="231F20"/>
        </w:rPr>
        <w:t>preboljenju</w:t>
      </w:r>
      <w:proofErr w:type="spellEnd"/>
      <w:r>
        <w:rPr>
          <w:color w:val="231F20"/>
        </w:rPr>
        <w:t xml:space="preserve"> izdanom od liječnika primarne zdravstvene zaštite ili nalazom PCR testa ne starijim od 12 mjesec</w:t>
      </w:r>
    </w:p>
    <w:p w14:paraId="58EBB82D" w14:textId="77777777" w:rsidR="00196FF2" w:rsidRDefault="00196FF2" w:rsidP="00196FF2">
      <w:pPr>
        <w:pStyle w:val="box468870"/>
        <w:numPr>
          <w:ilvl w:val="0"/>
          <w:numId w:val="6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 da su preboljele bolest COVID-19, a bolest im je dijagnosticirana PCR-om, BAT-om ili su bili vjerojatni slučaj, a cijepljene su jednom dozom cjepiva unutar 8 mjeseci od </w:t>
      </w:r>
      <w:proofErr w:type="spellStart"/>
      <w:r>
        <w:rPr>
          <w:color w:val="231F20"/>
        </w:rPr>
        <w:t>preboljenja</w:t>
      </w:r>
      <w:proofErr w:type="spellEnd"/>
      <w:r>
        <w:rPr>
          <w:color w:val="231F20"/>
        </w:rPr>
        <w:t xml:space="preserve"> te nije prošlo više od 12 mjeseci od primitka prve doze mogu dokazati potvrdom liječnika primarne zdravstvene zaštite o </w:t>
      </w:r>
      <w:proofErr w:type="spellStart"/>
      <w:r>
        <w:rPr>
          <w:color w:val="231F20"/>
        </w:rPr>
        <w:t>preboljenju</w:t>
      </w:r>
      <w:proofErr w:type="spellEnd"/>
      <w:r>
        <w:rPr>
          <w:color w:val="231F20"/>
        </w:rPr>
        <w:t xml:space="preserve"> ili nalazom pozitivnog PCR testa i potvrdom o cijepljenju jednom dozom cjepiva protiv bolesti COVID-19 </w:t>
      </w:r>
      <w:r>
        <w:rPr>
          <w:color w:val="231F20"/>
        </w:rPr>
        <w:lastRenderedPageBreak/>
        <w:t xml:space="preserve">pri čemu je datum cijepljenja unutar 8 mjeseci od </w:t>
      </w:r>
      <w:proofErr w:type="spellStart"/>
      <w:r>
        <w:rPr>
          <w:color w:val="231F20"/>
        </w:rPr>
        <w:t>preboljenja</w:t>
      </w:r>
      <w:proofErr w:type="spellEnd"/>
      <w:r>
        <w:rPr>
          <w:color w:val="231F20"/>
        </w:rPr>
        <w:t>, a nije prošlo više od 12 mjeseci od cijepljenja.</w:t>
      </w:r>
    </w:p>
    <w:p w14:paraId="5BB4EADC" w14:textId="77777777" w:rsidR="00196FF2" w:rsidRPr="00B569BC" w:rsidRDefault="00196FF2" w:rsidP="00196FF2">
      <w:pPr>
        <w:pStyle w:val="Odlomakpopisa"/>
        <w:jc w:val="both"/>
        <w:rPr>
          <w:lang w:val="hr-HR"/>
        </w:rPr>
      </w:pPr>
    </w:p>
    <w:p w14:paraId="7A3E965D" w14:textId="539F04D4" w:rsidR="008E5CE4" w:rsidRPr="00196FF2" w:rsidRDefault="008E5CE4" w:rsidP="008E5CE4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196FF2">
        <w:rPr>
          <w:b/>
          <w:bCs/>
          <w:lang w:val="hr-HR"/>
        </w:rPr>
        <w:t xml:space="preserve"> </w:t>
      </w:r>
      <w:r w:rsidR="00430DB4" w:rsidRPr="00196FF2">
        <w:rPr>
          <w:b/>
          <w:bCs/>
          <w:lang w:val="hr-HR"/>
        </w:rPr>
        <w:t xml:space="preserve">9, 40 </w:t>
      </w:r>
      <w:r w:rsidRPr="00196FF2">
        <w:rPr>
          <w:b/>
          <w:bCs/>
          <w:lang w:val="hr-HR"/>
        </w:rPr>
        <w:t>- pisana provjera (testiranje)</w:t>
      </w:r>
    </w:p>
    <w:p w14:paraId="4E1B57BC" w14:textId="77777777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 </w:t>
      </w:r>
    </w:p>
    <w:p w14:paraId="0A019B25" w14:textId="77777777" w:rsidR="008E5CE4" w:rsidRPr="00B569BC" w:rsidRDefault="008E5CE4" w:rsidP="00196FF2">
      <w:pPr>
        <w:jc w:val="both"/>
        <w:rPr>
          <w:lang w:val="hr-HR"/>
        </w:rPr>
      </w:pPr>
      <w:r w:rsidRPr="00B569BC">
        <w:rPr>
          <w:lang w:val="hr-HR"/>
        </w:rPr>
        <w:t xml:space="preserve">Testiranje će se održati u dvjema prostorijama. Lista kandidata koji ispunjavaju formalne uvjete iz natječaja čije su prijave pravodobne i potpune i koji se upućuju na pisano testiranje glasi:  </w:t>
      </w:r>
    </w:p>
    <w:p w14:paraId="7AA997BB" w14:textId="77777777" w:rsidR="008E5CE4" w:rsidRPr="00B569BC" w:rsidRDefault="008E5CE4" w:rsidP="008E5CE4">
      <w:pPr>
        <w:rPr>
          <w:lang w:val="hr-HR"/>
        </w:rPr>
      </w:pPr>
    </w:p>
    <w:p w14:paraId="572ED11A" w14:textId="34F134C1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Učionica:</w:t>
      </w:r>
      <w:r w:rsidR="00C94F66">
        <w:rPr>
          <w:lang w:val="hr-HR"/>
        </w:rPr>
        <w:t xml:space="preserve"> 2. a razreda</w:t>
      </w:r>
    </w:p>
    <w:p w14:paraId="3A18A923" w14:textId="77777777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 </w:t>
      </w:r>
    </w:p>
    <w:tbl>
      <w:tblPr>
        <w:tblpPr w:leftFromText="180" w:rightFromText="180" w:bottomFromText="160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89"/>
      </w:tblGrid>
      <w:tr w:rsidR="008E5CE4" w:rsidRPr="00B569BC" w14:paraId="20E77883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D839F" w14:textId="77777777" w:rsidR="008E5CE4" w:rsidRPr="00B569BC" w:rsidRDefault="008E5CE4">
            <w:pPr>
              <w:spacing w:line="256" w:lineRule="auto"/>
              <w:jc w:val="center"/>
              <w:rPr>
                <w:b/>
                <w:lang w:val="hr-HR"/>
              </w:rPr>
            </w:pPr>
            <w:r w:rsidRPr="00B569BC">
              <w:rPr>
                <w:b/>
                <w:lang w:val="hr-HR"/>
              </w:rPr>
              <w:t>Redni broj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F57C9" w14:textId="77777777" w:rsidR="008E5CE4" w:rsidRPr="00B569BC" w:rsidRDefault="008E5CE4">
            <w:pPr>
              <w:spacing w:line="256" w:lineRule="auto"/>
              <w:jc w:val="center"/>
              <w:rPr>
                <w:b/>
                <w:lang w:val="hr-HR"/>
              </w:rPr>
            </w:pPr>
            <w:r w:rsidRPr="00B569BC">
              <w:rPr>
                <w:b/>
                <w:lang w:val="hr-HR"/>
              </w:rPr>
              <w:t>INICIJALI IMENA  I PREZIMENA KANDIDATA</w:t>
            </w:r>
          </w:p>
        </w:tc>
      </w:tr>
      <w:tr w:rsidR="008E5CE4" w:rsidRPr="00B569BC" w14:paraId="60BCA4E3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6FFCC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1.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901685" w14:textId="19AA6A01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O. Đ.</w:t>
            </w:r>
          </w:p>
        </w:tc>
      </w:tr>
      <w:tr w:rsidR="008E5CE4" w:rsidRPr="00B569BC" w14:paraId="2F49405B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E77A0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2.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002D4" w14:textId="4CF8D19B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Ž. P.</w:t>
            </w:r>
          </w:p>
        </w:tc>
      </w:tr>
      <w:tr w:rsidR="008E5CE4" w:rsidRPr="00B569BC" w14:paraId="5A0D9D92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6A586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3.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8BD93" w14:textId="4C59072B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I. B.</w:t>
            </w:r>
          </w:p>
        </w:tc>
      </w:tr>
      <w:tr w:rsidR="008E5CE4" w:rsidRPr="00B569BC" w14:paraId="58743320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2DCD4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4.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E9559" w14:textId="2AE513E1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M. G.</w:t>
            </w:r>
          </w:p>
        </w:tc>
      </w:tr>
      <w:tr w:rsidR="008E5CE4" w:rsidRPr="00B569BC" w14:paraId="3C979027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A2A83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5.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9DE643" w14:textId="26320058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A. M. </w:t>
            </w:r>
          </w:p>
        </w:tc>
      </w:tr>
      <w:tr w:rsidR="008E5CE4" w:rsidRPr="00B569BC" w14:paraId="417DB79B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1ECA8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6.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609D42" w14:textId="26B7264D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J. Č.</w:t>
            </w:r>
          </w:p>
        </w:tc>
      </w:tr>
      <w:tr w:rsidR="008E5CE4" w:rsidRPr="00B569BC" w14:paraId="6DB4CC85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98BDB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7.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76FC2B" w14:textId="6BB8BC16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M. S. </w:t>
            </w:r>
          </w:p>
        </w:tc>
      </w:tr>
      <w:tr w:rsidR="008E5CE4" w:rsidRPr="00B569BC" w14:paraId="65ADDC29" w14:textId="77777777" w:rsidTr="008E5CE4">
        <w:trPr>
          <w:trHeight w:val="345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6EE6C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 xml:space="preserve">8. </w:t>
            </w:r>
          </w:p>
          <w:p w14:paraId="26C5727D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C5E34C" w14:textId="3DCC12ED" w:rsidR="008E5CE4" w:rsidRPr="00B569BC" w:rsidRDefault="008E5CE4" w:rsidP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A. H. </w:t>
            </w:r>
          </w:p>
        </w:tc>
      </w:tr>
      <w:tr w:rsidR="008E5CE4" w:rsidRPr="00B569BC" w14:paraId="52E9175B" w14:textId="77777777" w:rsidTr="008E5CE4">
        <w:trPr>
          <w:trHeight w:val="165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3ECFB" w14:textId="77777777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9.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D007A" w14:textId="7777777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T. B.</w:t>
            </w:r>
          </w:p>
          <w:p w14:paraId="68990F33" w14:textId="220E48D6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</w:p>
        </w:tc>
      </w:tr>
      <w:tr w:rsidR="008E5CE4" w:rsidRPr="00B569BC" w14:paraId="70B87096" w14:textId="77777777" w:rsidTr="008E5CE4">
        <w:trPr>
          <w:trHeight w:val="165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88061" w14:textId="335F165F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 xml:space="preserve">10. 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573BE" w14:textId="7777777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D. K. </w:t>
            </w:r>
          </w:p>
          <w:p w14:paraId="617215BA" w14:textId="22D80DC8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</w:p>
        </w:tc>
      </w:tr>
    </w:tbl>
    <w:p w14:paraId="03344C48" w14:textId="77777777" w:rsidR="008E5CE4" w:rsidRPr="00B569BC" w:rsidRDefault="008E5CE4" w:rsidP="008E5CE4">
      <w:pPr>
        <w:ind w:firstLine="720"/>
        <w:rPr>
          <w:lang w:val="hr-HR"/>
        </w:rPr>
      </w:pPr>
    </w:p>
    <w:p w14:paraId="085F29BF" w14:textId="77777777" w:rsidR="008E5CE4" w:rsidRPr="00B569BC" w:rsidRDefault="008E5CE4" w:rsidP="008E5CE4">
      <w:pPr>
        <w:ind w:firstLine="720"/>
        <w:rPr>
          <w:lang w:val="hr-HR"/>
        </w:rPr>
      </w:pPr>
    </w:p>
    <w:p w14:paraId="45D131B8" w14:textId="77777777" w:rsidR="008E5CE4" w:rsidRPr="00B569BC" w:rsidRDefault="008E5CE4" w:rsidP="008E5CE4">
      <w:pPr>
        <w:ind w:firstLine="720"/>
        <w:rPr>
          <w:lang w:val="hr-HR"/>
        </w:rPr>
      </w:pPr>
    </w:p>
    <w:p w14:paraId="056D4C8F" w14:textId="77F8A73F" w:rsidR="008E5CE4" w:rsidRPr="00B569BC" w:rsidRDefault="00196FF2" w:rsidP="008E5CE4">
      <w:pPr>
        <w:ind w:firstLine="720"/>
        <w:rPr>
          <w:lang w:val="hr-HR"/>
        </w:rPr>
      </w:pPr>
      <w:r>
        <w:rPr>
          <w:lang w:val="hr-HR"/>
        </w:rPr>
        <w:t>Prostorija</w:t>
      </w:r>
      <w:r w:rsidR="008E5CE4" w:rsidRPr="00B569BC">
        <w:rPr>
          <w:lang w:val="hr-HR"/>
        </w:rPr>
        <w:t xml:space="preserve">: </w:t>
      </w:r>
      <w:r w:rsidR="00C94F66">
        <w:rPr>
          <w:lang w:val="hr-HR"/>
        </w:rPr>
        <w:t>školski hol</w:t>
      </w:r>
    </w:p>
    <w:p w14:paraId="4D1EC3A5" w14:textId="77777777" w:rsidR="008E5CE4" w:rsidRPr="00B569BC" w:rsidRDefault="008E5CE4" w:rsidP="008E5CE4">
      <w:pPr>
        <w:ind w:firstLine="720"/>
        <w:rPr>
          <w:lang w:val="hr-HR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89"/>
      </w:tblGrid>
      <w:tr w:rsidR="008E5CE4" w:rsidRPr="00B569BC" w14:paraId="2A59178F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46589" w14:textId="77777777" w:rsidR="008E5CE4" w:rsidRPr="00B569BC" w:rsidRDefault="008E5CE4">
            <w:pPr>
              <w:spacing w:line="256" w:lineRule="auto"/>
              <w:jc w:val="center"/>
              <w:rPr>
                <w:b/>
                <w:lang w:val="hr-HR"/>
              </w:rPr>
            </w:pPr>
            <w:r w:rsidRPr="00B569BC">
              <w:rPr>
                <w:b/>
                <w:lang w:val="hr-HR"/>
              </w:rPr>
              <w:t>Redni broj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81561" w14:textId="1B67403A" w:rsidR="008E5CE4" w:rsidRPr="00B569BC" w:rsidRDefault="008E5CE4">
            <w:pPr>
              <w:spacing w:line="256" w:lineRule="auto"/>
              <w:jc w:val="center"/>
              <w:rPr>
                <w:b/>
                <w:lang w:val="hr-HR"/>
              </w:rPr>
            </w:pPr>
            <w:r w:rsidRPr="00B569BC">
              <w:rPr>
                <w:b/>
                <w:lang w:val="hr-HR"/>
              </w:rPr>
              <w:t>INICIJALI IMENA  I PREZIME</w:t>
            </w:r>
            <w:r w:rsidR="00B569BC">
              <w:rPr>
                <w:b/>
                <w:lang w:val="hr-HR"/>
              </w:rPr>
              <w:t>N</w:t>
            </w:r>
            <w:r w:rsidRPr="00B569BC">
              <w:rPr>
                <w:b/>
                <w:lang w:val="hr-HR"/>
              </w:rPr>
              <w:t>A KANDIDATA</w:t>
            </w:r>
          </w:p>
        </w:tc>
      </w:tr>
      <w:tr w:rsidR="008E5CE4" w:rsidRPr="00B569BC" w14:paraId="314BD65C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F6AF7" w14:textId="3F124F7D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1.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75F32" w14:textId="2D3374A9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M. J.</w:t>
            </w:r>
          </w:p>
        </w:tc>
      </w:tr>
      <w:tr w:rsidR="008E5CE4" w:rsidRPr="00B569BC" w14:paraId="5118DE0C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B4F0E" w14:textId="225D5A09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2.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49870" w14:textId="309776AC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D. Č.</w:t>
            </w:r>
          </w:p>
        </w:tc>
      </w:tr>
      <w:tr w:rsidR="008E5CE4" w:rsidRPr="00B569BC" w14:paraId="62AAB1C4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B58A3" w14:textId="11A418BE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3.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43CBB" w14:textId="3B8A150A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S. Š.</w:t>
            </w:r>
          </w:p>
        </w:tc>
      </w:tr>
      <w:tr w:rsidR="008E5CE4" w:rsidRPr="00B569BC" w14:paraId="7DC056AF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29241" w14:textId="7F64FA90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4.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61B096" w14:textId="44D70B1D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M. M.</w:t>
            </w:r>
          </w:p>
        </w:tc>
      </w:tr>
      <w:tr w:rsidR="008E5CE4" w:rsidRPr="00B569BC" w14:paraId="766B9ACE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A82DD" w14:textId="2FE4BA53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5.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B4BE7" w14:textId="0477A041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T. N. </w:t>
            </w:r>
          </w:p>
        </w:tc>
      </w:tr>
      <w:tr w:rsidR="008E5CE4" w:rsidRPr="00B569BC" w14:paraId="38C761A1" w14:textId="77777777" w:rsidTr="008E5CE4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ED264" w14:textId="700CA8DE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lastRenderedPageBreak/>
              <w:t>6.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9FC0D" w14:textId="1FE9799D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D. V.</w:t>
            </w:r>
          </w:p>
        </w:tc>
      </w:tr>
      <w:tr w:rsidR="008E5CE4" w:rsidRPr="00B569BC" w14:paraId="2BBB57E9" w14:textId="77777777" w:rsidTr="008E5CE4">
        <w:trPr>
          <w:trHeight w:val="345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92E56" w14:textId="0242E200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 xml:space="preserve">7. </w:t>
            </w:r>
          </w:p>
          <w:p w14:paraId="197372B6" w14:textId="14E2878F" w:rsidR="008E5CE4" w:rsidRPr="00B569BC" w:rsidRDefault="008E5CE4" w:rsidP="008E5CE4">
            <w:pPr>
              <w:spacing w:line="256" w:lineRule="auto"/>
              <w:rPr>
                <w:lang w:val="hr-HR"/>
              </w:rPr>
            </w:pP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045EF2" w14:textId="0F47F68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M. B.</w:t>
            </w:r>
          </w:p>
        </w:tc>
      </w:tr>
      <w:tr w:rsidR="008E5CE4" w:rsidRPr="00B569BC" w14:paraId="141B9487" w14:textId="77777777" w:rsidTr="008E5CE4">
        <w:trPr>
          <w:trHeight w:val="165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851FF" w14:textId="67C7370A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8.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9E1B99" w14:textId="7777777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>O. F.</w:t>
            </w:r>
          </w:p>
          <w:p w14:paraId="59079CEA" w14:textId="3D9D74FE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</w:p>
        </w:tc>
      </w:tr>
      <w:tr w:rsidR="008E5CE4" w:rsidRPr="00B569BC" w14:paraId="76B1BC08" w14:textId="77777777" w:rsidTr="008E5CE4">
        <w:trPr>
          <w:trHeight w:val="12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DB884" w14:textId="6C7F26E1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9.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E7EF6" w14:textId="7777777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P. K. </w:t>
            </w:r>
          </w:p>
          <w:p w14:paraId="632DFF8D" w14:textId="3895A8EE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</w:p>
        </w:tc>
      </w:tr>
      <w:tr w:rsidR="008E5CE4" w:rsidRPr="00B569BC" w14:paraId="1EC1E87E" w14:textId="77777777" w:rsidTr="008E5CE4">
        <w:trPr>
          <w:trHeight w:val="12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DD790C" w14:textId="1C421C74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 xml:space="preserve">10. 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42EDCC" w14:textId="7777777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S. J. </w:t>
            </w:r>
          </w:p>
          <w:p w14:paraId="6879ABD5" w14:textId="6FD98EA9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</w:p>
        </w:tc>
      </w:tr>
      <w:tr w:rsidR="008E5CE4" w:rsidRPr="00B569BC" w14:paraId="7C995AB6" w14:textId="77777777" w:rsidTr="008E5CE4">
        <w:trPr>
          <w:trHeight w:val="12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41E5D" w14:textId="4154C846" w:rsidR="008E5CE4" w:rsidRPr="00B569BC" w:rsidRDefault="008E5CE4">
            <w:pPr>
              <w:spacing w:line="256" w:lineRule="auto"/>
              <w:jc w:val="center"/>
              <w:rPr>
                <w:lang w:val="hr-HR"/>
              </w:rPr>
            </w:pPr>
            <w:r w:rsidRPr="00B569BC">
              <w:rPr>
                <w:lang w:val="hr-HR"/>
              </w:rPr>
              <w:t>11.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4F4C1" w14:textId="7777777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  <w:r w:rsidRPr="00B569BC">
              <w:rPr>
                <w:color w:val="FF0000"/>
                <w:lang w:val="hr-HR"/>
              </w:rPr>
              <w:t xml:space="preserve">M. F. </w:t>
            </w:r>
          </w:p>
          <w:p w14:paraId="40EDC488" w14:textId="0AA95D17" w:rsidR="008E5CE4" w:rsidRPr="00B569BC" w:rsidRDefault="008E5CE4">
            <w:pPr>
              <w:spacing w:line="256" w:lineRule="auto"/>
              <w:jc w:val="center"/>
              <w:rPr>
                <w:color w:val="FF0000"/>
                <w:lang w:val="hr-HR"/>
              </w:rPr>
            </w:pPr>
          </w:p>
        </w:tc>
      </w:tr>
    </w:tbl>
    <w:p w14:paraId="1CF0DA80" w14:textId="77777777" w:rsidR="008E5CE4" w:rsidRPr="00B569BC" w:rsidRDefault="008E5CE4" w:rsidP="008E5CE4">
      <w:pPr>
        <w:ind w:firstLine="720"/>
        <w:rPr>
          <w:lang w:val="hr-HR"/>
        </w:rPr>
      </w:pPr>
    </w:p>
    <w:p w14:paraId="5EFB2D73" w14:textId="77777777" w:rsidR="008E5CE4" w:rsidRPr="00B569BC" w:rsidRDefault="008E5CE4" w:rsidP="008E5CE4">
      <w:pPr>
        <w:ind w:firstLine="720"/>
        <w:rPr>
          <w:lang w:val="hr-HR"/>
        </w:rPr>
      </w:pPr>
    </w:p>
    <w:p w14:paraId="6A373D41" w14:textId="77777777" w:rsidR="008E5CE4" w:rsidRPr="00B569BC" w:rsidRDefault="008E5CE4" w:rsidP="008E5CE4">
      <w:pPr>
        <w:rPr>
          <w:lang w:val="hr-HR"/>
        </w:rPr>
      </w:pPr>
    </w:p>
    <w:p w14:paraId="6435E7A3" w14:textId="77777777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Ako kandidat  ne pristupi testiranju u navedenom vremenu ili pristupi nakon vremena određenog za početak testiranja, ne smatra se kandidatom natječaja.</w:t>
      </w:r>
    </w:p>
    <w:p w14:paraId="0304502E" w14:textId="77777777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 </w:t>
      </w:r>
    </w:p>
    <w:p w14:paraId="5784A0C5" w14:textId="77777777" w:rsidR="008E5CE4" w:rsidRPr="00B569BC" w:rsidRDefault="008E5CE4" w:rsidP="008E5CE4">
      <w:pPr>
        <w:rPr>
          <w:lang w:val="hr-HR"/>
        </w:rPr>
      </w:pPr>
    </w:p>
    <w:p w14:paraId="161877EB" w14:textId="77777777" w:rsidR="008E5CE4" w:rsidRPr="00B569BC" w:rsidRDefault="008E5CE4" w:rsidP="008E5CE4">
      <w:pPr>
        <w:rPr>
          <w:lang w:val="hr-HR"/>
        </w:rPr>
      </w:pPr>
    </w:p>
    <w:p w14:paraId="43BD2E64" w14:textId="77777777" w:rsidR="008E5CE4" w:rsidRPr="00B569BC" w:rsidRDefault="008E5CE4" w:rsidP="008E5CE4">
      <w:pPr>
        <w:jc w:val="both"/>
        <w:rPr>
          <w:b/>
          <w:lang w:val="hr-HR"/>
        </w:rPr>
      </w:pPr>
      <w:r w:rsidRPr="00B569BC">
        <w:rPr>
          <w:b/>
          <w:lang w:val="hr-HR"/>
        </w:rPr>
        <w:t>PRAVILA TESTIRANJA:</w:t>
      </w:r>
    </w:p>
    <w:p w14:paraId="4BA978C3" w14:textId="77777777" w:rsidR="008E5CE4" w:rsidRPr="00B569BC" w:rsidRDefault="008E5CE4" w:rsidP="008E5CE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B569BC">
        <w:rPr>
          <w:lang w:val="hr-HR"/>
        </w:rPr>
        <w:t>Pisana  provjera kandidata obavit će se putem testiranja.</w:t>
      </w:r>
    </w:p>
    <w:p w14:paraId="3F8AA0CA" w14:textId="77777777" w:rsidR="008E5CE4" w:rsidRPr="00B569BC" w:rsidRDefault="008E5CE4" w:rsidP="008E5CE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B569BC">
        <w:rPr>
          <w:lang w:val="hr-HR"/>
        </w:rPr>
        <w:t xml:space="preserve">Kandidat je dužan ponijeti sa sobom osobnu iskaznicu ili drugu identifikacijsku javnu ispravu na temelju koje će se prije testiranja utvrditi identitet kandidata. </w:t>
      </w:r>
    </w:p>
    <w:p w14:paraId="444737F4" w14:textId="193526CE" w:rsidR="008E5CE4" w:rsidRDefault="008E5CE4" w:rsidP="008E5CE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B569BC">
        <w:rPr>
          <w:lang w:val="hr-HR"/>
        </w:rPr>
        <w:t>Testiranju ne može pristupiti kandidat koji ne može dokazati identitet, niti osobe za koje je Povjerenstvo utvrdilo da ne ispunjavaju formalne uvjete iz natječaja, te čije prijave nisu pravodobne i potpune.</w:t>
      </w:r>
    </w:p>
    <w:p w14:paraId="271E7DAF" w14:textId="0B1C71BB" w:rsidR="00196FF2" w:rsidRPr="00DE426A" w:rsidRDefault="00196FF2" w:rsidP="00DE426A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Kandidat je dužan ponijeti sa sobom </w:t>
      </w:r>
      <w:r w:rsidRPr="00F53219">
        <w:rPr>
          <w:b/>
          <w:bCs/>
          <w:lang w:val="hr-HR"/>
        </w:rPr>
        <w:t>odgovarajući dokaz</w:t>
      </w:r>
      <w:r>
        <w:rPr>
          <w:lang w:val="hr-HR"/>
        </w:rPr>
        <w:t xml:space="preserve"> da je testiran na virus SARS-CoV-2, da se cijepio ili prebolio bolest COVID-19</w:t>
      </w:r>
      <w:r w:rsidR="00DE426A" w:rsidRPr="00DE426A">
        <w:rPr>
          <w:lang w:val="hr-HR"/>
        </w:rPr>
        <w:t xml:space="preserve"> </w:t>
      </w:r>
      <w:r w:rsidR="00DE426A">
        <w:rPr>
          <w:lang w:val="hr-HR"/>
        </w:rPr>
        <w:t>u protivnom ne može pristupiti testiranju.</w:t>
      </w:r>
      <w:r w:rsidRPr="00DE426A">
        <w:rPr>
          <w:lang w:val="hr-HR"/>
        </w:rPr>
        <w:t xml:space="preserve">  </w:t>
      </w:r>
    </w:p>
    <w:p w14:paraId="7B3A6BEC" w14:textId="77777777" w:rsidR="008E5CE4" w:rsidRPr="00B569BC" w:rsidRDefault="008E5CE4" w:rsidP="008E5CE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B569BC">
        <w:rPr>
          <w:lang w:val="hr-HR"/>
        </w:rPr>
        <w:t>Nakon utvrđivanja identiteta kandidata Povjerenstvo će podijeliti testove kandidatima.</w:t>
      </w:r>
    </w:p>
    <w:p w14:paraId="0B4B263D" w14:textId="77777777" w:rsidR="008E5CE4" w:rsidRPr="00B569BC" w:rsidRDefault="008E5CE4" w:rsidP="008E5CE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B569BC">
        <w:rPr>
          <w:lang w:val="hr-HR"/>
        </w:rPr>
        <w:t>Po zaprimanju testa kandidat je dužan vlastoručno upisati ime, prezime i lozinku na za to označenom mjestu na testu. Test se piše isključivo kemijskom olovkom.</w:t>
      </w:r>
    </w:p>
    <w:p w14:paraId="5D069C0B" w14:textId="77777777" w:rsidR="008E5CE4" w:rsidRPr="00B569BC" w:rsidRDefault="008E5CE4" w:rsidP="008E5CE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B569BC">
        <w:rPr>
          <w:lang w:val="hr-HR"/>
        </w:rPr>
        <w:t>Test sadrži 15 pitanja. Predviđeno vrijeme testiranja je 45 minuta. Svaki odgovor se vrednuje bodovima  0 ili 1.    </w:t>
      </w:r>
    </w:p>
    <w:p w14:paraId="619D4070" w14:textId="77777777" w:rsidR="008E5CE4" w:rsidRPr="00B569BC" w:rsidRDefault="008E5CE4" w:rsidP="008E5CE4">
      <w:pPr>
        <w:jc w:val="both"/>
        <w:rPr>
          <w:lang w:val="hr-HR"/>
        </w:rPr>
      </w:pPr>
    </w:p>
    <w:p w14:paraId="68BDFED9" w14:textId="77777777" w:rsidR="008E5CE4" w:rsidRPr="00B569BC" w:rsidRDefault="008E5CE4" w:rsidP="008E5CE4">
      <w:pPr>
        <w:jc w:val="both"/>
        <w:rPr>
          <w:b/>
          <w:lang w:val="hr-HR"/>
        </w:rPr>
      </w:pPr>
      <w:r w:rsidRPr="00B569BC">
        <w:rPr>
          <w:b/>
          <w:lang w:val="hr-HR"/>
        </w:rPr>
        <w:t>Za vrijeme testiranja nije dopušteno:</w:t>
      </w:r>
    </w:p>
    <w:p w14:paraId="5BE6B5D4" w14:textId="77777777" w:rsidR="008E5CE4" w:rsidRPr="00B569BC" w:rsidRDefault="008E5CE4" w:rsidP="008E5CE4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B569BC">
        <w:rPr>
          <w:lang w:val="hr-HR"/>
        </w:rPr>
        <w:t>koristiti se bilo kakvom literaturom, odnosno bilješkama</w:t>
      </w:r>
    </w:p>
    <w:p w14:paraId="3CDA6E8B" w14:textId="77777777" w:rsidR="008E5CE4" w:rsidRPr="00B569BC" w:rsidRDefault="008E5CE4" w:rsidP="008E5CE4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B569BC">
        <w:rPr>
          <w:lang w:val="hr-HR"/>
        </w:rPr>
        <w:t>koristiti mobitel ili druga komunikacijska sredstva</w:t>
      </w:r>
    </w:p>
    <w:p w14:paraId="22CF8CE2" w14:textId="77777777" w:rsidR="008E5CE4" w:rsidRPr="00B569BC" w:rsidRDefault="008E5CE4" w:rsidP="008E5CE4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B569BC">
        <w:rPr>
          <w:lang w:val="hr-HR"/>
        </w:rPr>
        <w:t xml:space="preserve">napuštati prostoriju u kojoj se testiranje odvija </w:t>
      </w:r>
    </w:p>
    <w:p w14:paraId="0F5C9165" w14:textId="77777777" w:rsidR="008E5CE4" w:rsidRPr="00B569BC" w:rsidRDefault="008E5CE4" w:rsidP="008E5CE4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B569BC">
        <w:rPr>
          <w:lang w:val="hr-HR"/>
        </w:rPr>
        <w:t>razgovarati s ostalim kandidatima</w:t>
      </w:r>
    </w:p>
    <w:p w14:paraId="6D429A9E" w14:textId="77777777" w:rsidR="008E5CE4" w:rsidRPr="00B569BC" w:rsidRDefault="008E5CE4" w:rsidP="008E5CE4">
      <w:pPr>
        <w:jc w:val="both"/>
        <w:rPr>
          <w:lang w:val="hr-HR"/>
        </w:rPr>
      </w:pPr>
      <w:r w:rsidRPr="00B569BC">
        <w:rPr>
          <w:lang w:val="hr-HR"/>
        </w:rPr>
        <w:t> </w:t>
      </w:r>
    </w:p>
    <w:p w14:paraId="2F3291D1" w14:textId="77777777" w:rsidR="008E5CE4" w:rsidRPr="00B569BC" w:rsidRDefault="008E5CE4" w:rsidP="008E5CE4">
      <w:pPr>
        <w:jc w:val="both"/>
        <w:rPr>
          <w:lang w:val="hr-HR"/>
        </w:rPr>
      </w:pPr>
      <w:r w:rsidRPr="00B569BC">
        <w:rPr>
          <w:lang w:val="hr-HR"/>
        </w:rPr>
        <w:t>Ukoliko kandidat postupi suprotno pravilima testiranja, bit će udaljen s testiranja, a njegov rezultat Povjerenstvo neće priznati, niti ocijeniti.</w:t>
      </w:r>
    </w:p>
    <w:p w14:paraId="4210C07D" w14:textId="77777777" w:rsidR="008E5CE4" w:rsidRPr="00B569BC" w:rsidRDefault="008E5CE4" w:rsidP="008E5CE4">
      <w:pPr>
        <w:ind w:firstLine="360"/>
        <w:jc w:val="both"/>
        <w:rPr>
          <w:lang w:val="hr-HR"/>
        </w:rPr>
      </w:pPr>
    </w:p>
    <w:p w14:paraId="17B552C8" w14:textId="77777777" w:rsidR="008E5CE4" w:rsidRPr="00B569BC" w:rsidRDefault="008E5CE4" w:rsidP="008E5CE4">
      <w:pPr>
        <w:jc w:val="both"/>
        <w:rPr>
          <w:lang w:val="hr-HR"/>
        </w:rPr>
      </w:pPr>
      <w:r w:rsidRPr="00B569BC">
        <w:rPr>
          <w:lang w:val="hr-HR"/>
        </w:rPr>
        <w:t xml:space="preserve">Nakon obavljenog testiranja Povjerenstvo utvrđuje rezultat testiranja za svakog kandidata koji je pristupio testiranju. Smatra se da je kandidat zadovoljio na testu ako je ostvario najmanje 60% bodova od ukupnog broja bodova koji se mogu ostvariti na testu. </w:t>
      </w:r>
    </w:p>
    <w:p w14:paraId="22356E31" w14:textId="77777777" w:rsidR="008E5CE4" w:rsidRPr="00B569BC" w:rsidRDefault="008E5CE4" w:rsidP="008E5CE4">
      <w:pPr>
        <w:jc w:val="both"/>
        <w:rPr>
          <w:lang w:val="hr-HR"/>
        </w:rPr>
      </w:pPr>
    </w:p>
    <w:p w14:paraId="76D115BB" w14:textId="77777777" w:rsidR="008E5CE4" w:rsidRPr="00B569BC" w:rsidRDefault="008E5CE4" w:rsidP="008E5CE4">
      <w:pPr>
        <w:jc w:val="both"/>
        <w:rPr>
          <w:lang w:val="hr-HR"/>
        </w:rPr>
      </w:pPr>
      <w:r w:rsidRPr="00B569BC">
        <w:rPr>
          <w:lang w:val="hr-HR"/>
        </w:rPr>
        <w:t>Na razgovor s kandidatom - intervju Povjerenstvo će pozvati najviše pet (5) kandidata koji postignu najveći broj bodova na pisanoj provjeri – testiranju.</w:t>
      </w:r>
    </w:p>
    <w:p w14:paraId="4E3B8F29" w14:textId="77777777" w:rsidR="008E5CE4" w:rsidRPr="00B569BC" w:rsidRDefault="008E5CE4" w:rsidP="008E5CE4">
      <w:pPr>
        <w:ind w:firstLine="720"/>
        <w:jc w:val="both"/>
        <w:rPr>
          <w:lang w:val="hr-HR"/>
        </w:rPr>
      </w:pPr>
    </w:p>
    <w:p w14:paraId="5DEFE4D8" w14:textId="77777777" w:rsidR="008E5CE4" w:rsidRPr="00B569BC" w:rsidRDefault="008E5CE4" w:rsidP="008E5CE4">
      <w:pPr>
        <w:jc w:val="both"/>
        <w:rPr>
          <w:lang w:val="hr-HR"/>
        </w:rPr>
      </w:pPr>
      <w:r w:rsidRPr="00B569BC">
        <w:rPr>
          <w:lang w:val="hr-HR"/>
        </w:rPr>
        <w:t xml:space="preserve">Rezultat testiranja i poziv kandidatima na intervju Povjerenstvo će objaviti na web stranici Osnovne škole Ivana Filipovića  </w:t>
      </w:r>
      <w:hyperlink r:id="rId5" w:history="1">
        <w:r w:rsidRPr="00B569BC">
          <w:rPr>
            <w:rStyle w:val="Hiperveza"/>
            <w:lang w:val="hr-HR"/>
          </w:rPr>
          <w:t>http://os-ifilipovica-os.skole.hr/</w:t>
        </w:r>
      </w:hyperlink>
      <w:r w:rsidRPr="00B569BC">
        <w:rPr>
          <w:lang w:val="hr-HR"/>
        </w:rPr>
        <w:t xml:space="preserve"> u rubrici NATJEČAJI.</w:t>
      </w:r>
    </w:p>
    <w:p w14:paraId="572B2136" w14:textId="77777777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 </w:t>
      </w:r>
    </w:p>
    <w:p w14:paraId="2CA6004A" w14:textId="77777777" w:rsidR="008E5CE4" w:rsidRPr="00B569BC" w:rsidRDefault="008E5CE4" w:rsidP="008E5CE4">
      <w:pPr>
        <w:rPr>
          <w:lang w:val="hr-HR"/>
        </w:rPr>
      </w:pPr>
      <w:r w:rsidRPr="00B569BC">
        <w:rPr>
          <w:lang w:val="hr-HR"/>
        </w:rPr>
        <w:t> </w:t>
      </w:r>
    </w:p>
    <w:p w14:paraId="7765F165" w14:textId="77777777" w:rsidR="008E5CE4" w:rsidRPr="00B569BC" w:rsidRDefault="008E5CE4" w:rsidP="008E5CE4">
      <w:pPr>
        <w:rPr>
          <w:b/>
          <w:lang w:val="hr-HR"/>
        </w:rPr>
      </w:pPr>
    </w:p>
    <w:p w14:paraId="1CEA99B8" w14:textId="77777777" w:rsidR="008E5CE4" w:rsidRPr="00B569BC" w:rsidRDefault="008E5CE4" w:rsidP="008E5CE4">
      <w:pPr>
        <w:jc w:val="both"/>
        <w:rPr>
          <w:b/>
          <w:lang w:val="hr-HR"/>
        </w:rPr>
      </w:pPr>
      <w:r w:rsidRPr="00B569BC">
        <w:rPr>
          <w:b/>
          <w:lang w:val="hr-HR"/>
        </w:rPr>
        <w:t>Područja provjere te pravni  i drugi  izvori za pripremanje kandidata za vrednovanje</w:t>
      </w:r>
    </w:p>
    <w:p w14:paraId="6F17DC37" w14:textId="77777777" w:rsidR="008E5CE4" w:rsidRPr="00B569BC" w:rsidRDefault="008E5CE4" w:rsidP="008E5CE4">
      <w:pPr>
        <w:jc w:val="both"/>
        <w:rPr>
          <w:lang w:val="hr-HR"/>
        </w:rPr>
      </w:pPr>
      <w:r w:rsidRPr="00B569BC">
        <w:rPr>
          <w:lang w:val="hr-HR"/>
        </w:rPr>
        <w:t> </w:t>
      </w:r>
    </w:p>
    <w:p w14:paraId="016828EA" w14:textId="77777777" w:rsidR="008E5CE4" w:rsidRPr="00B569BC" w:rsidRDefault="008E5CE4" w:rsidP="008E5CE4">
      <w:pPr>
        <w:jc w:val="both"/>
        <w:rPr>
          <w:lang w:val="hr-HR"/>
        </w:rPr>
      </w:pPr>
      <w:r w:rsidRPr="00B569BC">
        <w:rPr>
          <w:lang w:val="hr-HR"/>
        </w:rPr>
        <w:t xml:space="preserve">Izvori koji će se koristiti prilikom pisane provjere znanja  -  testiranja: </w:t>
      </w:r>
    </w:p>
    <w:p w14:paraId="13F64119" w14:textId="77777777" w:rsidR="008E5CE4" w:rsidRPr="00B569BC" w:rsidRDefault="008E5CE4" w:rsidP="008E5CE4">
      <w:pPr>
        <w:ind w:firstLine="708"/>
        <w:jc w:val="both"/>
        <w:rPr>
          <w:lang w:val="hr-HR"/>
        </w:rPr>
      </w:pPr>
    </w:p>
    <w:p w14:paraId="154A82C1" w14:textId="77777777" w:rsidR="00196FF2" w:rsidRPr="00ED570D" w:rsidRDefault="00196FF2" w:rsidP="00196FF2">
      <w:pPr>
        <w:jc w:val="both"/>
        <w:rPr>
          <w:b/>
          <w:lang w:val="hr-HR"/>
        </w:rPr>
      </w:pPr>
      <w:r w:rsidRPr="00ED570D">
        <w:rPr>
          <w:b/>
          <w:lang w:val="hr-HR"/>
        </w:rPr>
        <w:t>Područja provjere te pravni  i drugi  izvori za pripremanje kandidata za vrednovanje</w:t>
      </w:r>
    </w:p>
    <w:p w14:paraId="6686D8C3" w14:textId="77777777" w:rsidR="00196FF2" w:rsidRPr="00ED570D" w:rsidRDefault="00196FF2" w:rsidP="00196FF2">
      <w:pPr>
        <w:jc w:val="both"/>
        <w:rPr>
          <w:lang w:val="hr-HR"/>
        </w:rPr>
      </w:pPr>
      <w:r w:rsidRPr="00ED570D">
        <w:rPr>
          <w:lang w:val="hr-HR"/>
        </w:rPr>
        <w:t> </w:t>
      </w:r>
    </w:p>
    <w:p w14:paraId="5E36A8F3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rPr>
          <w:rFonts w:eastAsiaTheme="minorHAnsi"/>
          <w:lang w:val="hr-HR"/>
        </w:rPr>
      </w:pPr>
      <w:r w:rsidRPr="00F53219">
        <w:rPr>
          <w:rFonts w:eastAsiaTheme="minorHAnsi"/>
          <w:lang w:val="hr-HR"/>
        </w:rPr>
        <w:t>Zakon o odgoju i obrazovanju u osnovnoj i srednjoj školi (</w:t>
      </w:r>
      <w:r w:rsidRPr="00F53219">
        <w:rPr>
          <w:rFonts w:eastAsiaTheme="minorHAnsi"/>
          <w:color w:val="000000" w:themeColor="text1"/>
          <w:lang w:val="hr-HR"/>
        </w:rPr>
        <w:t>NN </w:t>
      </w:r>
      <w:hyperlink r:id="rId6" w:history="1">
        <w:r w:rsidRPr="00F53219">
          <w:rPr>
            <w:rFonts w:eastAsiaTheme="minorHAnsi"/>
            <w:color w:val="000000" w:themeColor="text1"/>
            <w:lang w:val="hr-HR"/>
          </w:rPr>
          <w:t>87/08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7" w:history="1">
        <w:r w:rsidRPr="00F53219">
          <w:rPr>
            <w:rFonts w:eastAsiaTheme="minorHAnsi"/>
            <w:color w:val="000000" w:themeColor="text1"/>
            <w:lang w:val="hr-HR"/>
          </w:rPr>
          <w:t>86/09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8" w:history="1">
        <w:r w:rsidRPr="00F53219">
          <w:rPr>
            <w:rFonts w:eastAsiaTheme="minorHAnsi"/>
            <w:color w:val="000000" w:themeColor="text1"/>
            <w:lang w:val="hr-HR"/>
          </w:rPr>
          <w:t>92/10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9" w:history="1">
        <w:r w:rsidRPr="00F53219">
          <w:rPr>
            <w:rFonts w:eastAsiaTheme="minorHAnsi"/>
            <w:color w:val="000000" w:themeColor="text1"/>
            <w:lang w:val="hr-HR"/>
          </w:rPr>
          <w:t>105/10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0" w:history="1">
        <w:r w:rsidRPr="00F53219">
          <w:rPr>
            <w:rFonts w:eastAsiaTheme="minorHAnsi"/>
            <w:color w:val="000000" w:themeColor="text1"/>
            <w:lang w:val="hr-HR"/>
          </w:rPr>
          <w:t>90/11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1" w:history="1">
        <w:r w:rsidRPr="00F53219">
          <w:rPr>
            <w:rFonts w:eastAsiaTheme="minorHAnsi"/>
            <w:color w:val="000000" w:themeColor="text1"/>
            <w:lang w:val="hr-HR"/>
          </w:rPr>
          <w:t>5/12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2" w:history="1">
        <w:r w:rsidRPr="00F53219">
          <w:rPr>
            <w:rFonts w:eastAsiaTheme="minorHAnsi"/>
            <w:color w:val="000000" w:themeColor="text1"/>
            <w:lang w:val="hr-HR"/>
          </w:rPr>
          <w:t>16/12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3" w:history="1">
        <w:r w:rsidRPr="00F53219">
          <w:rPr>
            <w:rFonts w:eastAsiaTheme="minorHAnsi"/>
            <w:color w:val="000000" w:themeColor="text1"/>
            <w:lang w:val="hr-HR"/>
          </w:rPr>
          <w:t>86/12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4" w:history="1">
        <w:r w:rsidRPr="00F53219">
          <w:rPr>
            <w:rFonts w:eastAsiaTheme="minorHAnsi"/>
            <w:color w:val="000000" w:themeColor="text1"/>
            <w:lang w:val="hr-HR"/>
          </w:rPr>
          <w:t>126/12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5" w:history="1">
        <w:r w:rsidRPr="00F53219">
          <w:rPr>
            <w:rFonts w:eastAsiaTheme="minorHAnsi"/>
            <w:color w:val="000000" w:themeColor="text1"/>
            <w:lang w:val="hr-HR"/>
          </w:rPr>
          <w:t>94/13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6" w:history="1">
        <w:r w:rsidRPr="00F53219">
          <w:rPr>
            <w:rFonts w:eastAsiaTheme="minorHAnsi"/>
            <w:color w:val="000000" w:themeColor="text1"/>
            <w:lang w:val="hr-HR"/>
          </w:rPr>
          <w:t>152/14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7" w:history="1">
        <w:r w:rsidRPr="00F53219">
          <w:rPr>
            <w:rFonts w:eastAsiaTheme="minorHAnsi"/>
            <w:color w:val="000000" w:themeColor="text1"/>
            <w:lang w:val="hr-HR"/>
          </w:rPr>
          <w:t>07/17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8" w:tgtFrame="_blank" w:history="1">
        <w:r w:rsidRPr="00F53219">
          <w:rPr>
            <w:rFonts w:eastAsiaTheme="minorHAnsi"/>
            <w:color w:val="000000" w:themeColor="text1"/>
            <w:lang w:val="hr-HR"/>
          </w:rPr>
          <w:t>68/18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19" w:tgtFrame="_blank" w:history="1">
        <w:r w:rsidRPr="00F53219">
          <w:rPr>
            <w:rFonts w:eastAsiaTheme="minorHAnsi"/>
            <w:color w:val="000000" w:themeColor="text1"/>
            <w:lang w:val="hr-HR"/>
          </w:rPr>
          <w:t>98/19</w:t>
        </w:r>
      </w:hyperlink>
      <w:r w:rsidRPr="00F53219">
        <w:rPr>
          <w:rFonts w:eastAsiaTheme="minorHAnsi"/>
          <w:color w:val="000000" w:themeColor="text1"/>
          <w:lang w:val="hr-HR"/>
        </w:rPr>
        <w:t>, </w:t>
      </w:r>
      <w:hyperlink r:id="rId20" w:history="1">
        <w:r w:rsidRPr="00F53219">
          <w:rPr>
            <w:rFonts w:eastAsiaTheme="minorHAnsi"/>
            <w:color w:val="000000" w:themeColor="text1"/>
            <w:lang w:val="hr-HR"/>
          </w:rPr>
          <w:t>64/20</w:t>
        </w:r>
      </w:hyperlink>
      <w:r w:rsidRPr="00F53219">
        <w:rPr>
          <w:rFonts w:eastAsiaTheme="minorHAnsi"/>
          <w:color w:val="000000" w:themeColor="text1"/>
          <w:lang w:val="hr-HR"/>
        </w:rPr>
        <w:t>)</w:t>
      </w:r>
    </w:p>
    <w:p w14:paraId="71FC52A2" w14:textId="77777777" w:rsidR="00196FF2" w:rsidRPr="00F53219" w:rsidRDefault="00DE426A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lang w:val="hr-HR"/>
        </w:rPr>
      </w:pPr>
      <w:hyperlink r:id="rId21" w:history="1">
        <w:r w:rsidR="00196FF2" w:rsidRPr="00F53219">
          <w:rPr>
            <w:rFonts w:eastAsiaTheme="minorHAnsi"/>
            <w:color w:val="2E74B5" w:themeColor="accent5" w:themeShade="BF"/>
            <w:u w:val="single"/>
            <w:lang w:val="hr-HR"/>
          </w:rPr>
          <w:t>https://www.zakon.hr/z/317/Zakon-o-odgoju-i-obrazovanju-u-osnovnoj-i-srednjoj-%C5%A1koli</w:t>
        </w:r>
      </w:hyperlink>
    </w:p>
    <w:p w14:paraId="77FB0151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Theme="minorHAnsi"/>
          <w:lang w:val="hr-HR"/>
        </w:rPr>
      </w:pPr>
      <w:r w:rsidRPr="00F53219">
        <w:rPr>
          <w:rFonts w:eastAsiaTheme="minorHAnsi"/>
          <w:lang w:val="hr-HR"/>
        </w:rPr>
        <w:t>Državni pedagoški standard za osnovnu školu (NN 63/2008)</w:t>
      </w:r>
      <w:r w:rsidRPr="00F53219">
        <w:rPr>
          <w:rFonts w:eastAsiaTheme="minorHAnsi"/>
          <w:color w:val="000000"/>
          <w:shd w:val="clear" w:color="auto" w:fill="F4F4F6"/>
          <w:lang w:val="hr-HR"/>
        </w:rPr>
        <w:t> </w:t>
      </w:r>
    </w:p>
    <w:p w14:paraId="736E72FD" w14:textId="77777777" w:rsidR="00196FF2" w:rsidRPr="00F53219" w:rsidRDefault="00DE426A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lang w:val="hr-HR"/>
        </w:rPr>
      </w:pPr>
      <w:hyperlink r:id="rId22" w:history="1">
        <w:r w:rsidR="00196FF2" w:rsidRPr="00F53219">
          <w:rPr>
            <w:rFonts w:eastAsiaTheme="minorHAnsi"/>
            <w:color w:val="2E74B5" w:themeColor="accent5" w:themeShade="BF"/>
            <w:u w:val="single"/>
            <w:lang w:val="hr-HR"/>
          </w:rPr>
          <w:t>https://narodne-novine.nn.hr/clanci/sluzbeni/2008_06_63_2129.html</w:t>
        </w:r>
      </w:hyperlink>
    </w:p>
    <w:p w14:paraId="6F3E49C5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Theme="minorHAnsi"/>
          <w:lang w:val="hr-HR"/>
        </w:rPr>
      </w:pPr>
      <w:r w:rsidRPr="00F53219">
        <w:rPr>
          <w:rFonts w:eastAsiaTheme="minorHAnsi"/>
          <w:lang w:val="hr-HR"/>
        </w:rPr>
        <w:t>Pravilnik o organizaciji i provedbi produženog boravka u osnovnoj školi (NN 62/2019)</w:t>
      </w:r>
    </w:p>
    <w:p w14:paraId="43A10021" w14:textId="77777777" w:rsidR="00196FF2" w:rsidRPr="00F53219" w:rsidRDefault="00DE426A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u w:val="single"/>
          <w:lang w:val="hr-HR"/>
        </w:rPr>
      </w:pPr>
      <w:hyperlink r:id="rId23" w:history="1">
        <w:r w:rsidR="00196FF2" w:rsidRPr="00F53219">
          <w:rPr>
            <w:rFonts w:eastAsiaTheme="minorHAnsi"/>
            <w:color w:val="2E74B5" w:themeColor="accent5" w:themeShade="BF"/>
            <w:u w:val="single"/>
            <w:lang w:val="hr-HR"/>
          </w:rPr>
          <w:t>https://narodne-novine.nn.hr/clanci/sluzbeni/2019_06_62_1222.html</w:t>
        </w:r>
      </w:hyperlink>
    </w:p>
    <w:p w14:paraId="128ECBAE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Theme="minorHAnsi"/>
          <w:lang w:val="hr-HR"/>
        </w:rPr>
      </w:pPr>
      <w:r w:rsidRPr="00F53219">
        <w:rPr>
          <w:rFonts w:eastAsiaTheme="minorHAnsi"/>
          <w:color w:val="000000" w:themeColor="text1"/>
          <w:lang w:val="hr-HR"/>
        </w:rPr>
        <w:t>Pravilnik o kriterijima za izricanje pedagoških mjera (NN 94/15 i 3/17)</w:t>
      </w:r>
    </w:p>
    <w:p w14:paraId="0B2895F3" w14:textId="77777777" w:rsidR="00196FF2" w:rsidRPr="00F53219" w:rsidRDefault="00196FF2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u w:val="single"/>
          <w:lang w:val="hr-HR"/>
        </w:rPr>
      </w:pPr>
      <w:r w:rsidRPr="00F53219">
        <w:rPr>
          <w:rFonts w:eastAsiaTheme="minorHAnsi"/>
          <w:color w:val="2E74B5" w:themeColor="accent5" w:themeShade="BF"/>
          <w:u w:val="single"/>
          <w:lang w:val="hr-HR"/>
        </w:rPr>
        <w:t>http://os-ifilipovica-os.skole.hr/SKOLSKI_DOKUMENTI?st3_action=upload_doc</w:t>
      </w:r>
    </w:p>
    <w:p w14:paraId="2F0D468C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Theme="minorHAnsi"/>
          <w:lang w:val="hr-HR"/>
        </w:rPr>
      </w:pPr>
      <w:r w:rsidRPr="00F53219">
        <w:rPr>
          <w:rFonts w:eastAsiaTheme="minorHAnsi"/>
          <w:lang w:val="hr-HR"/>
        </w:rPr>
        <w:t>Pravilnik o načinima, postupcima i elementima vrednovanja učenika u osnovnoj i srednjoj školi (NN 112/10, 82/19, 43/20 i 100/21)</w:t>
      </w:r>
    </w:p>
    <w:p w14:paraId="2B583656" w14:textId="77777777" w:rsidR="00196FF2" w:rsidRPr="00F53219" w:rsidRDefault="00DE426A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lang w:val="hr-HR"/>
        </w:rPr>
      </w:pPr>
      <w:hyperlink r:id="rId24" w:history="1">
        <w:r w:rsidR="00196FF2" w:rsidRPr="00F53219">
          <w:rPr>
            <w:rFonts w:eastAsiaTheme="minorHAnsi"/>
            <w:color w:val="2E74B5" w:themeColor="accent5" w:themeShade="BF"/>
            <w:u w:val="single"/>
            <w:lang w:val="hr-HR"/>
          </w:rPr>
          <w:t>http://os-ifilipovica-os.skole.hr/SKOLSKI_DOKUMENTI?st3_action=upload_doc</w:t>
        </w:r>
      </w:hyperlink>
    </w:p>
    <w:p w14:paraId="72295409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Theme="minorHAnsi"/>
          <w:lang w:val="hr-HR"/>
        </w:rPr>
      </w:pPr>
      <w:r w:rsidRPr="00F53219">
        <w:rPr>
          <w:rFonts w:eastAsiaTheme="minorHAnsi"/>
          <w:lang w:val="hr-HR"/>
        </w:rPr>
        <w:t>Pravilnik o tjednim radnim obvezama učitelja i stručnih suradnika u osnovnoj školi (NN 34/14 i 102/19)</w:t>
      </w:r>
    </w:p>
    <w:p w14:paraId="3689D275" w14:textId="77777777" w:rsidR="00196FF2" w:rsidRPr="00F53219" w:rsidRDefault="00196FF2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u w:val="single"/>
          <w:lang w:val="hr-HR"/>
        </w:rPr>
      </w:pPr>
      <w:r w:rsidRPr="00F53219">
        <w:rPr>
          <w:rFonts w:eastAsiaTheme="minorHAnsi"/>
          <w:color w:val="2E74B5" w:themeColor="accent5" w:themeShade="BF"/>
          <w:u w:val="single"/>
          <w:lang w:val="hr-HR"/>
        </w:rPr>
        <w:t>http://os-ifilipovica-os.skole.hr/SKOLSKI_DOKUMENTI?st3_action=upload_doc</w:t>
      </w:r>
    </w:p>
    <w:p w14:paraId="605BAFA3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Theme="minorHAnsi"/>
          <w:lang w:val="hr-HR"/>
        </w:rPr>
      </w:pPr>
      <w:r w:rsidRPr="00F53219">
        <w:rPr>
          <w:rFonts w:eastAsiaTheme="minorHAnsi"/>
          <w:lang w:val="hr-HR"/>
        </w:rPr>
        <w:t>Statut OŠ Ivana Filipovića, Osijek</w:t>
      </w:r>
    </w:p>
    <w:p w14:paraId="386DF7F3" w14:textId="77777777" w:rsidR="00196FF2" w:rsidRPr="00F53219" w:rsidRDefault="00DE426A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u w:val="single"/>
          <w:lang w:val="hr-HR"/>
        </w:rPr>
      </w:pPr>
      <w:hyperlink r:id="rId25" w:history="1">
        <w:r w:rsidR="00196FF2" w:rsidRPr="00F53219">
          <w:rPr>
            <w:rFonts w:eastAsiaTheme="minorHAnsi"/>
            <w:color w:val="2E74B5" w:themeColor="accent5" w:themeShade="BF"/>
            <w:u w:val="single"/>
            <w:lang w:val="hr-HR"/>
          </w:rPr>
          <w:t>http://os-ifilipovica-os.skole.hr/_kolski_dokumenti/opci_akti_skole</w:t>
        </w:r>
      </w:hyperlink>
    </w:p>
    <w:p w14:paraId="6DCE0927" w14:textId="77777777" w:rsidR="00196FF2" w:rsidRPr="00F53219" w:rsidRDefault="00196FF2" w:rsidP="00196FF2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Theme="minorHAnsi"/>
          <w:lang w:val="hr-HR"/>
        </w:rPr>
      </w:pPr>
      <w:r w:rsidRPr="00F53219">
        <w:rPr>
          <w:rFonts w:eastAsiaTheme="minorHAnsi"/>
          <w:lang w:val="hr-HR"/>
        </w:rPr>
        <w:t>Kućni red OŠ Ivana Filipovića, Osijek</w:t>
      </w:r>
    </w:p>
    <w:p w14:paraId="1FA40510" w14:textId="4C22A4A7" w:rsidR="008E5CE4" w:rsidRPr="00196FF2" w:rsidRDefault="00DE426A" w:rsidP="00196FF2">
      <w:pPr>
        <w:spacing w:after="160" w:line="360" w:lineRule="auto"/>
        <w:ind w:left="720"/>
        <w:contextualSpacing/>
        <w:jc w:val="both"/>
        <w:rPr>
          <w:rFonts w:eastAsiaTheme="minorHAnsi"/>
          <w:color w:val="2E74B5" w:themeColor="accent5" w:themeShade="BF"/>
          <w:lang w:val="hr-HR"/>
        </w:rPr>
      </w:pPr>
      <w:hyperlink r:id="rId26" w:history="1">
        <w:r w:rsidR="00196FF2" w:rsidRPr="00F53219">
          <w:rPr>
            <w:rFonts w:eastAsiaTheme="minorHAnsi"/>
            <w:color w:val="2E74B5" w:themeColor="accent5" w:themeShade="BF"/>
            <w:u w:val="single"/>
            <w:lang w:val="hr-HR"/>
          </w:rPr>
          <w:t>http://os-ifilipovica-os.skole.hr/_kolski_dokumenti/opci_akti_skole</w:t>
        </w:r>
      </w:hyperlink>
    </w:p>
    <w:p w14:paraId="726304CF" w14:textId="77777777" w:rsidR="008E5CE4" w:rsidRPr="00B569BC" w:rsidRDefault="008E5CE4" w:rsidP="008E5CE4">
      <w:pPr>
        <w:shd w:val="clear" w:color="auto" w:fill="FFFFFF"/>
        <w:spacing w:before="100" w:beforeAutospacing="1" w:after="100" w:afterAutospacing="1"/>
        <w:jc w:val="right"/>
        <w:rPr>
          <w:color w:val="000000"/>
          <w:lang w:val="hr-HR"/>
        </w:rPr>
      </w:pPr>
    </w:p>
    <w:p w14:paraId="5BBC7CC6" w14:textId="77777777" w:rsidR="008E5CE4" w:rsidRPr="00B569BC" w:rsidRDefault="008E5CE4" w:rsidP="008E5CE4">
      <w:pPr>
        <w:shd w:val="clear" w:color="auto" w:fill="FFFFFF"/>
        <w:spacing w:before="100" w:beforeAutospacing="1" w:after="100" w:afterAutospacing="1"/>
        <w:jc w:val="right"/>
        <w:rPr>
          <w:color w:val="000000"/>
          <w:lang w:val="hr-HR"/>
        </w:rPr>
      </w:pPr>
      <w:r w:rsidRPr="00B569BC">
        <w:rPr>
          <w:color w:val="000000"/>
          <w:lang w:val="hr-HR"/>
        </w:rPr>
        <w:t>                                                POVJERENSTVO ZA VREDNOVANJE KANDIDATA</w:t>
      </w:r>
    </w:p>
    <w:p w14:paraId="690B9045" w14:textId="77777777" w:rsidR="008E5CE4" w:rsidRPr="00B569BC" w:rsidRDefault="008E5CE4" w:rsidP="008E5CE4"/>
    <w:p w14:paraId="0886C7E5" w14:textId="77777777" w:rsidR="007553C6" w:rsidRPr="00B569BC" w:rsidRDefault="007553C6"/>
    <w:sectPr w:rsidR="007553C6" w:rsidRPr="00B5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AA5"/>
    <w:multiLevelType w:val="hybridMultilevel"/>
    <w:tmpl w:val="3CC4B2A2"/>
    <w:lvl w:ilvl="0" w:tplc="FAB0B4DE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1850467"/>
    <w:multiLevelType w:val="hybridMultilevel"/>
    <w:tmpl w:val="11B82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5CDB"/>
    <w:multiLevelType w:val="hybridMultilevel"/>
    <w:tmpl w:val="729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08C7"/>
    <w:multiLevelType w:val="hybridMultilevel"/>
    <w:tmpl w:val="8D8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C4528"/>
    <w:multiLevelType w:val="hybridMultilevel"/>
    <w:tmpl w:val="7A2A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C5F9B"/>
    <w:multiLevelType w:val="hybridMultilevel"/>
    <w:tmpl w:val="9308FF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4FE0"/>
    <w:multiLevelType w:val="hybridMultilevel"/>
    <w:tmpl w:val="375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E4"/>
    <w:rsid w:val="00196FF2"/>
    <w:rsid w:val="00430DB4"/>
    <w:rsid w:val="007553C6"/>
    <w:rsid w:val="008E5CE4"/>
    <w:rsid w:val="00B569BC"/>
    <w:rsid w:val="00C94F66"/>
    <w:rsid w:val="00D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B4E3"/>
  <w15:chartTrackingRefBased/>
  <w15:docId w15:val="{83E3187C-5DEA-47D9-9203-97C395ED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E5CE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E5CE4"/>
    <w:pPr>
      <w:ind w:left="720"/>
      <w:contextualSpacing/>
    </w:pPr>
  </w:style>
  <w:style w:type="paragraph" w:customStyle="1" w:styleId="box468870">
    <w:name w:val="box_468870"/>
    <w:basedOn w:val="Normal"/>
    <w:rsid w:val="00196FF2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8" TargetMode="External"/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26" Type="http://schemas.openxmlformats.org/officeDocument/2006/relationships/hyperlink" Target="http://os-ifilipovica-os.skole.hr/_kolski_dokumenti/opci_akti_sko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z/317/Zakon-o-odgoju-i-obrazovanju-u-osnovnoj-i-srednjoj-%C5%A1koli" TargetMode="External"/><Relationship Id="rId7" Type="http://schemas.openxmlformats.org/officeDocument/2006/relationships/hyperlink" Target="https://www.zakon.hr/cms.htm?id=67" TargetMode="Externa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5" Type="http://schemas.openxmlformats.org/officeDocument/2006/relationships/hyperlink" Target="http://os-ifilipovica-os.skole.hr/_kolski_dokumenti/opci_akti_sko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671" TargetMode="External"/><Relationship Id="rId20" Type="http://schemas.openxmlformats.org/officeDocument/2006/relationships/hyperlink" Target="https://www.zakon.hr/cms.htm?id=446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6" TargetMode="External"/><Relationship Id="rId11" Type="http://schemas.openxmlformats.org/officeDocument/2006/relationships/hyperlink" Target="https://www.zakon.hr/cms.htm?id=71" TargetMode="External"/><Relationship Id="rId24" Type="http://schemas.openxmlformats.org/officeDocument/2006/relationships/hyperlink" Target="http://os-ifilipovica-os.skole.hr/SKOLSKI_DOKUMENTI?st3_action=upload_doc" TargetMode="External"/><Relationship Id="rId5" Type="http://schemas.openxmlformats.org/officeDocument/2006/relationships/hyperlink" Target="http://os-ifilipovica-os.skole.hr/" TargetMode="External"/><Relationship Id="rId15" Type="http://schemas.openxmlformats.org/officeDocument/2006/relationships/hyperlink" Target="https://www.zakon.hr/cms.htm?id=480" TargetMode="External"/><Relationship Id="rId23" Type="http://schemas.openxmlformats.org/officeDocument/2006/relationships/hyperlink" Target="https://narodne-novine.nn.hr/clanci/sluzbeni/2019_06_62_122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.hr/cms.htm?id=70" TargetMode="External"/><Relationship Id="rId19" Type="http://schemas.openxmlformats.org/officeDocument/2006/relationships/hyperlink" Target="https://www.zakon.hr/cms.htm?id=40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Relationship Id="rId22" Type="http://schemas.openxmlformats.org/officeDocument/2006/relationships/hyperlink" Target="https://narodne-novine.nn.hr/clanci/sluzbeni/2008_06_63_212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2</cp:revision>
  <dcterms:created xsi:type="dcterms:W3CDTF">2021-11-15T12:40:00Z</dcterms:created>
  <dcterms:modified xsi:type="dcterms:W3CDTF">2021-11-15T12:40:00Z</dcterms:modified>
</cp:coreProperties>
</file>