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OSNOVNA ŠKOLA JOSIPA JURJA STROSSMAYERA ĐURĐENOVAC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seminari,savjetovanje i simp.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80522000-9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5.250,00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tečajevi i stručni ispiti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80000000-4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2.625,00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materijal-razni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30000000-9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54.441,00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EVB-4/22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literatura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22200000-2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EVB-5/22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sredstva za čišćenje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EVB-6/22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higijenske potrebe i njegu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33741100-7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EVB-7/22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ostali materijal za potrebe redovnog poslovanja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EVB-8/22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113.100,00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provodi Osječko-baranjska županija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EVB-9/22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plin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09121200-5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provodi Osječko-baranjska županija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EVB-10/22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motorni benzin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3.750,00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tekuće održavanje građevinskih objekata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11.250,00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tekuće održavanje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sitan inventar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39220000-0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EVB-14/22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službena radna i zaštitna odjeća i obuća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18110000-3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EVB-15/22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telefona i telefaksa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EVB-16/22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poštarina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EVB-17/22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usluge za komun. I prijev.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63000000-9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30.750,00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EVB-18/22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tekuće i investicijsko održavanje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EVB-19/22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vodom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EVB-20/22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iznošenje i odvoz smeća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deratizacija/dezinfekcija/dezinsekcija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90923000-3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dimnjačarske i ekološke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90915000-4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komunalne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9.548,00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EVB-24/22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obavezni i preventivni zdrav. pregledi zaposlenika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85120000-6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11.250,00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EVB-25/22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intelektualne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79100000-5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11.700,00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EVB-26/22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ažuriranja računalnih baza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72000000-5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EVB-27/22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grafičke i tiskarske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79820000-8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EVB-28/22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ostali materijali (drva)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03413000-8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EVB-29/22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reprezentacija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EVB-30/22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upravne i administrativne pristojbe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75100000-7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sudske pristojbe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75231000-4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ostali nespomenuti rashodi poslovanja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39500000-7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novčana naknada za zapošljavanje osoba s invalididetom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75310000-2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8.250,00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EVB-34/22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kruh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15811100-7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54.560,00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EVB-35/22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pekarski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157.500,00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EVB-36/22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35.150,00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EVB-37/22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meso i mesne prerađevine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15100000-9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23.250,00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EVB-38/22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voće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18.270,00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EVB-39/22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namirnice za kuhinju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EVB-40/22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usluge promidžbe i informiranja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79342200-5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EVB-41/22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namještaj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EVB-42/22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odvjetnika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79100000-5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18.750,00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EVB-43/22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uređaji,strojevi i oprema za ostale namjene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11.550,00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EVB-44/22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knjige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143.688,00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03.01.2022 19:15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03.01.2022 19:15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