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B5" w:rsidRPr="00497499" w:rsidRDefault="00F06159" w:rsidP="00497499">
      <w:pPr>
        <w:jc w:val="center"/>
        <w:rPr>
          <w:b/>
          <w:sz w:val="36"/>
          <w:szCs w:val="36"/>
        </w:rPr>
      </w:pPr>
      <w:r w:rsidRPr="00497499">
        <w:rPr>
          <w:b/>
          <w:sz w:val="36"/>
          <w:szCs w:val="36"/>
        </w:rPr>
        <w:t>Vrednovanje u nastavi kemije</w:t>
      </w:r>
    </w:p>
    <w:p w:rsidR="00F06159" w:rsidRDefault="006A3458" w:rsidP="006A3458">
      <w:r>
        <w:t>Osnovna škola Otrići-Dubrave</w:t>
      </w:r>
    </w:p>
    <w:p w:rsidR="006A3458" w:rsidRPr="00F06159" w:rsidRDefault="006A3458" w:rsidP="006A3458">
      <w:pPr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>
        <w:t xml:space="preserve">Učiteljica: Tatjana Matić, mag.educ.biol. et chem.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SADRŽAJ: </w:t>
      </w:r>
    </w:p>
    <w:p w:rsidR="00F06159" w:rsidRPr="00F06159" w:rsidRDefault="00F06159" w:rsidP="00F0615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Elementi ocjenjivanja i oblici provjere učeničkih postignuća</w:t>
      </w:r>
    </w:p>
    <w:p w:rsidR="00F06159" w:rsidRPr="00F06159" w:rsidRDefault="00F06159" w:rsidP="00F0615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Ocjenjivanje učeničkih postignuća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 </w:t>
      </w:r>
    </w:p>
    <w:p w:rsidR="00F06159" w:rsidRPr="006A3458" w:rsidRDefault="00F06159" w:rsidP="00F06159">
      <w:pPr>
        <w:spacing w:before="100" w:after="100" w:line="240" w:lineRule="auto"/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hr-HR"/>
        </w:rPr>
      </w:pPr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hr-HR"/>
        </w:rPr>
        <w:t>1. Elementi ocjenjivanja i oblici provjere učeničkih postignuća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Elementi ocjenjivanja učeničkih postignuća iz nastavnog predmeta Kemija su: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1.1. usvojenost nastavnih sadržaja (znanje i razumijevanje)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1.2. prirodoslovni pristup (računski i problemski zadaci, seminarski i projektni radovi, školski i domaći rad i sl.)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hr-HR"/>
        </w:rPr>
        <w:t>1.1. Usvojenost nastavnih sadržaja (znanje i razumijevanje)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Obuhvaća postignuća u kognitivnoj ili spoznajnoj domeni razvoja. U sklopu ove sastavnice vrednuje se poznavanje temeljnih pojmova i stručnog nazivlja, razumijevanje pojava i procesa, objašnjavanje međuodnosa i uzročno-posljedičnih veza. Podrazumijeva prosudbe o znanju i razumijevanju činjenica, pojmova, koncepta i postupaka u kemiji. Oblik provjere učeničkih postignuća unutar ovog elementa može biti pisani i usmeni odgovor. Usmeno provjeravanje može se provoditi na svakom nastavnom satu, bez obaveze najave (sukladno s postojećim zakonskim odredbama), dok se pisani ispit najavljuje sukladno zakonskim odredbama. Prigodom uvodnog ponavljanja prethodno obrađenih sadržaja moguće je ocijeniti dio učenika.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eastAsia="hr-HR"/>
        </w:rPr>
      </w:pPr>
      <w:r w:rsidRPr="00F06159">
        <w:rPr>
          <w:rFonts w:ascii="Calibri" w:eastAsia="Times New Roman" w:hAnsi="Calibri" w:cs="Calibri"/>
          <w:color w:val="0070C0"/>
          <w:sz w:val="28"/>
          <w:szCs w:val="28"/>
          <w:lang w:eastAsia="hr-HR"/>
        </w:rPr>
        <w:t> </w:t>
      </w:r>
    </w:p>
    <w:p w:rsidR="00F06159" w:rsidRPr="006A3458" w:rsidRDefault="00F06159" w:rsidP="00F06159">
      <w:pPr>
        <w:spacing w:before="100" w:after="100" w:line="240" w:lineRule="auto"/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hr-HR"/>
        </w:rPr>
      </w:pPr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hr-HR"/>
        </w:rPr>
        <w:t>1.2. Prirodoslovni pristup (računski i problemski zadaci, seminarski i projektni radovi, školski i domaći rad)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Podrazumijeva sposobnost primjene stečenog znanja u rješavanju konkretnih problemskih situacija, npr. povezivanju rezultata pokusa s konceptualnim spoznajama, primjeni matematičkih vještina i uočavanju zakonitosti uopćavanjem podataka i sl. U ovoj se sastavnici ocjenjuje učenikova sposobnost i vještina prikazivanja dostupnih podataka o nekoj pojavi ili procesu na znanstveni način te razvrstavanja u glavne kategorije, raspravljanja problema (pojave) s različitih motrišta, smislenog raščlanjivanja problema (tabelarni prikaz, grafikon) i prikazivanja međuodnosa.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Prevladavajući oblik provjere učeničkih postignuća unutar ovog elementa ocjenjivanja je pisana zadaća. Uz ovaj oblik provjere, moguće je procijeniti primjenu znanja kroz seminarske i projektne radove, eseje, razgovorom i pomoću aktivnosti tijekom nastavnog procesa, rješavanju domaćih radova, samostalne praktične radove, prikaze istraživanja, prikaze zaključaka rasprava, različite prezentacije, referate, plakate, seminarske radove, križaljke, konceptualne mape. Prilikom vrednovanja grupnog uratka u ovoj se sastavnici može ocijeniti učenikov individualni doprinos radu grupe.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Jedan od primjera ocjenjivanja učeničkog postignuća jest:</w:t>
      </w:r>
    </w:p>
    <w:tbl>
      <w:tblPr>
        <w:tblW w:w="0" w:type="auto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1518"/>
      </w:tblGrid>
      <w:tr w:rsidR="00F06159" w:rsidRPr="00F06159" w:rsidTr="00F06159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postignuti %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ocjena</w:t>
            </w:r>
          </w:p>
        </w:tc>
      </w:tr>
      <w:tr w:rsidR="00F06159" w:rsidRPr="00F06159" w:rsidTr="00F0615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0  – 49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nedovoljan (1)</w:t>
            </w:r>
          </w:p>
        </w:tc>
      </w:tr>
      <w:tr w:rsidR="00F06159" w:rsidRPr="00F06159" w:rsidTr="00F0615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50 – 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dovoljan (2)</w:t>
            </w:r>
          </w:p>
        </w:tc>
      </w:tr>
      <w:tr w:rsidR="00F06159" w:rsidRPr="00F06159" w:rsidTr="00F0615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61 - 79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dobar (3)</w:t>
            </w:r>
          </w:p>
        </w:tc>
      </w:tr>
      <w:tr w:rsidR="00F06159" w:rsidRPr="00F06159" w:rsidTr="00F0615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6A3458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80 - 88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vrlo dobar (4)</w:t>
            </w:r>
          </w:p>
        </w:tc>
      </w:tr>
      <w:tr w:rsidR="00F06159" w:rsidRPr="00F06159" w:rsidTr="00F06159"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90 - 100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odličan (5)</w:t>
            </w:r>
          </w:p>
        </w:tc>
      </w:tr>
    </w:tbl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U pisanoj zadaći svaki  je zadatak posebno vrednovan (po potrebi i po koracima pa se priznaju svi korektno napisani koraci unutar istoga zadatka, ne samo konačno rješenje), a maksimalne bodovne vrijednosti zadataka navode se uz tekst zadatka i služe učenicima kao orijentacija o ukupnom postignuću nakon rješavanja.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Pisano provjeravanje i ocjenjivanje učenikova znanja može se provoditi minimalno četiri puta godišnje (u skladu s postojećim zakonskim odredbama) i objavljeno je u kalendaru pisanih provjera.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Rješavanje složenijih zadataka na satu, a to podrazumijeva samostalno rješavanje tekstualnih ili matematičkih (brojčanih) zadataka u okviru tekućeg nastavnog sadržaja, vrednuje se odmah, na nastavnom satu, prema načelu točno – netočno i donosi ocjenu odličan u rubrici 'prirodoslovni pristup'. Prigodom obrade novih sadržaja moguće je ocijeniti dio učenika koji se na osnovu ranije stečenog znanja uspješno snalaze u novim situacijama.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Domaće zadaće moguće je koristiti za provjeravanja znanja učenika na način da se provjeri je li učenik sam pisao zadaću i koliko ju je razumio. Vježbanje na satu se također koristi za provjeravanje i ocjenjivanje učenika. Zadavanjem zadataka različite složenosti, koji učenici samostalno rješavaju, moguće je skupiti podatke o stupnju usvojenosti određenih sadržaja. 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Afektivno područje učeničkog razvoja, iskazano kroz </w:t>
      </w:r>
      <w:r w:rsidRPr="00F06159">
        <w:rPr>
          <w:rFonts w:ascii="Calibri" w:eastAsia="Times New Roman" w:hAnsi="Calibri" w:cs="Calibri"/>
          <w:i/>
          <w:iCs/>
          <w:lang w:eastAsia="hr-HR"/>
        </w:rPr>
        <w:t>Odnos učenika prema radu</w:t>
      </w:r>
      <w:r w:rsidRPr="00F06159">
        <w:rPr>
          <w:rFonts w:ascii="Calibri" w:eastAsia="Times New Roman" w:hAnsi="Calibri" w:cs="Calibri"/>
          <w:lang w:eastAsia="hr-HR"/>
        </w:rPr>
        <w:t xml:space="preserve"> u pravilu se prati bilješkama o radu i napredovanju učenika  i ocjenjuje se opisno.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> </w:t>
      </w:r>
    </w:p>
    <w:p w:rsidR="00F06159" w:rsidRPr="006A3458" w:rsidRDefault="00F06159" w:rsidP="00F06159">
      <w:pPr>
        <w:spacing w:before="100" w:after="100" w:line="240" w:lineRule="auto"/>
        <w:rPr>
          <w:rFonts w:ascii="Calibri" w:eastAsia="Times New Roman" w:hAnsi="Calibri" w:cs="Calibri"/>
          <w:color w:val="C45911" w:themeColor="accent2" w:themeShade="BF"/>
          <w:sz w:val="28"/>
          <w:szCs w:val="28"/>
          <w:lang w:val="en-US" w:eastAsia="hr-HR"/>
        </w:rPr>
      </w:pPr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val="en-US" w:eastAsia="hr-HR"/>
        </w:rPr>
        <w:t xml:space="preserve">2.1. </w:t>
      </w:r>
      <w:proofErr w:type="spellStart"/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val="en-US" w:eastAsia="hr-HR"/>
        </w:rPr>
        <w:t>Ocjenjivanje</w:t>
      </w:r>
      <w:proofErr w:type="spellEnd"/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val="en-US" w:eastAsia="hr-HR"/>
        </w:rPr>
        <w:t xml:space="preserve"> </w:t>
      </w:r>
      <w:proofErr w:type="spellStart"/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val="en-US" w:eastAsia="hr-HR"/>
        </w:rPr>
        <w:t>učeničkih</w:t>
      </w:r>
      <w:proofErr w:type="spellEnd"/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val="en-US" w:eastAsia="hr-HR"/>
        </w:rPr>
        <w:t xml:space="preserve"> </w:t>
      </w:r>
      <w:proofErr w:type="spellStart"/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val="en-US" w:eastAsia="hr-HR"/>
        </w:rPr>
        <w:t>postignuća</w:t>
      </w:r>
      <w:proofErr w:type="spellEnd"/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proofErr w:type="spellStart"/>
      <w:r w:rsidRPr="00F06159">
        <w:rPr>
          <w:rFonts w:ascii="Calibri" w:eastAsia="Times New Roman" w:hAnsi="Calibri" w:cs="Calibri"/>
          <w:lang w:val="en-US" w:eastAsia="hr-HR"/>
        </w:rPr>
        <w:t>Tablica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1: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Vrednovanje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sadržaja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prirodoslovnog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pristupa</w:t>
      </w:r>
      <w:proofErr w:type="spellEnd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9"/>
        <w:gridCol w:w="1625"/>
        <w:gridCol w:w="1503"/>
        <w:gridCol w:w="1507"/>
        <w:gridCol w:w="1504"/>
      </w:tblGrid>
      <w:tr w:rsidR="00F06159" w:rsidRPr="00F06159" w:rsidTr="00F06159">
        <w:tc>
          <w:tcPr>
            <w:tcW w:w="17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RAZINE USVOJENOSTI</w:t>
            </w:r>
          </w:p>
        </w:tc>
        <w:tc>
          <w:tcPr>
            <w:tcW w:w="18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19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22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8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18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F06159" w:rsidRPr="00F06159" w:rsidTr="00F06159">
        <w:tc>
          <w:tcPr>
            <w:tcW w:w="17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ELEMENTI  </w:t>
            </w:r>
            <w:r w:rsidRPr="00596308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OCJENJIVANJA</w:t>
            </w:r>
          </w:p>
        </w:tc>
        <w:tc>
          <w:tcPr>
            <w:tcW w:w="188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USVOJENOST NASTAVNIH SADRŽAJA </w:t>
            </w:r>
          </w:p>
        </w:tc>
        <w:tc>
          <w:tcPr>
            <w:tcW w:w="199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Učenik djelomično poznaje osnovne pojmove, zakone i jedinice. Učenik  griješi, ali uz pomoć nastavnika dođe do ispravnog odgovora.</w:t>
            </w:r>
          </w:p>
        </w:tc>
        <w:tc>
          <w:tcPr>
            <w:tcW w:w="22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Učenik poznaje sve pojmove, zakone i jedinice.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Sadržaje je usvojio u većoj mjeri bez pojedinosti, ne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primjenjuje stečeno znanje na samostalnim primjerima ili </w:t>
            </w: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u novim situacijama.</w:t>
            </w:r>
          </w:p>
        </w:tc>
        <w:tc>
          <w:tcPr>
            <w:tcW w:w="29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Učenik razumije pojave, zakone i teorije i obrazlaže uzročno-posljedične veze uz povremenu pomoć nastavnika.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Učenik navodi svoje primjere iz </w:t>
            </w: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svakodnevnog života.</w:t>
            </w:r>
          </w:p>
        </w:tc>
        <w:tc>
          <w:tcPr>
            <w:tcW w:w="203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Učenik potpuno samostalno interpretira pojave, zakone i teorije i obrazlaže uzročno-posljedične veze, te primjenjuje sadržaje u novim (vlastitim) primjerima iz </w:t>
            </w: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situacijama ili novim problemima.</w:t>
            </w:r>
          </w:p>
        </w:tc>
      </w:tr>
      <w:tr w:rsidR="00F06159" w:rsidRPr="00F06159" w:rsidTr="00F06159">
        <w:tc>
          <w:tcPr>
            <w:tcW w:w="17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 </w:t>
            </w:r>
          </w:p>
        </w:tc>
        <w:tc>
          <w:tcPr>
            <w:tcW w:w="189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PRIRODOSLOVNI  PRISTUP</w:t>
            </w:r>
          </w:p>
        </w:tc>
        <w:tc>
          <w:tcPr>
            <w:tcW w:w="2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Rješava jednostavne šablonske zadatke izravnim uvrštavanjem veličina u formulu uz ne uvijek cjelovit postupak.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Ne povezuje rezultate i zaključke pokusa ili dobivenih podataka s konceptualnim spoznajama.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Učenik rijetko izrađuje domaće i školske zadaće, nepotpuno i s greškama, ne uključuje u rasprave, kasni s izradom samostalnog praktičnog rada, prezentacije ili plakati i seminarski radovi su oskudni i neprikladni.</w:t>
            </w:r>
          </w:p>
        </w:tc>
        <w:tc>
          <w:tcPr>
            <w:tcW w:w="22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Rješava jednostavne i šablonske zadatke uz cjelovit postupak.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Ne povezuje rezultate i zaključke pokusa ili dobivenih podataka s konceptualnim spoznajama.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Učenik uglavnom izrađuje domaće i školske zadaće, ali su često nepotpune ili s greškama, ponekad se uključuje u raspravu, samostalne praktične radove izrađuje na vrijeme, ali površno, prezentacije ili plakati i seminarski radovi su također načinjeni površno.</w:t>
            </w:r>
          </w:p>
        </w:tc>
        <w:tc>
          <w:tcPr>
            <w:tcW w:w="29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Rješava složenije zadatke ili uz pomoć nastavnika ili bez cjelovitog  postupka.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Djelomično povezuje rezultate i zaključke pokusa ili dobivenih podataka s konceptualnim spoznajama.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Učenik redovito izrađuje domaće i školske zadaće, pri čemu ponekad griješi, u raspravama ponekad navodi pogrešnu argumentaciju ili zaključak, samostalne praktične radove izrađuje korektno, prezentacije i seminarski radovi su pregledni, točni i uočava se uloženi trud – međutim upute nisu poštovane do kraja ili se </w:t>
            </w: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mogu uočiti nepreciznosti u pokrivanju zadatka (teme) ili izražavanju.</w:t>
            </w:r>
          </w:p>
        </w:tc>
        <w:tc>
          <w:tcPr>
            <w:tcW w:w="19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Samostalno, točno i cjelovito rješava nove problemske situacije ili konceptualne zadatke.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Stečeno znanje primjenjuje u svim situacijama. Sistematično i logično analizira podatke. Povezuje rezultate i zaključke pokusa ili dobivenih podataka s konceptualnim spoznajama.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Učenik redovito i točno izrađuje domaće i školske zadaće,  argumentirano raspravlja i točno zaključuje, samostalne praktične radove izrađuje korektno, na vrijeme, prezentacije ili plakati i seminarski radovi su </w:t>
            </w: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pregledni, točni i kreativni.</w:t>
            </w:r>
          </w:p>
        </w:tc>
      </w:tr>
    </w:tbl>
    <w:p w:rsidR="00F06159" w:rsidRPr="006A3458" w:rsidRDefault="00F06159" w:rsidP="00F06159">
      <w:pPr>
        <w:spacing w:before="100" w:after="100" w:line="240" w:lineRule="auto"/>
        <w:rPr>
          <w:rFonts w:ascii="Calibri" w:eastAsia="Times New Roman" w:hAnsi="Calibri" w:cs="Calibri"/>
          <w:color w:val="C45911" w:themeColor="accent2" w:themeShade="BF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lastRenderedPageBreak/>
        <w:t xml:space="preserve"> </w:t>
      </w:r>
    </w:p>
    <w:p w:rsidR="00F06159" w:rsidRPr="006A3458" w:rsidRDefault="00F06159" w:rsidP="00F06159">
      <w:pPr>
        <w:spacing w:before="100" w:after="100" w:line="240" w:lineRule="auto"/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hr-HR"/>
        </w:rPr>
      </w:pPr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val="en-US" w:eastAsia="hr-HR"/>
        </w:rPr>
        <w:t xml:space="preserve">2.2. </w:t>
      </w:r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hr-HR"/>
        </w:rPr>
        <w:t xml:space="preserve">Ocjenjivanje eseja, seminarskih radova, prezentacija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 xml:space="preserve">U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vrednovanju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praktičnih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radova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ili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izlaganja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prezentacija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plakata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sl.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koriste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se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kontrolne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liste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ili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rubrike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s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razrađenim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kriterijima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>.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proofErr w:type="spellStart"/>
      <w:r w:rsidRPr="00F06159">
        <w:rPr>
          <w:rFonts w:ascii="Calibri" w:eastAsia="Times New Roman" w:hAnsi="Calibri" w:cs="Calibri"/>
          <w:lang w:val="en-US" w:eastAsia="hr-HR"/>
        </w:rPr>
        <w:t>Tablica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2: 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Vrednovanje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napisanog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izvješća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elementima</w:t>
      </w:r>
      <w:proofErr w:type="spellEnd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999"/>
        <w:gridCol w:w="1874"/>
        <w:gridCol w:w="1747"/>
        <w:gridCol w:w="1878"/>
      </w:tblGrid>
      <w:tr w:rsidR="00F06159" w:rsidRPr="00F06159" w:rsidTr="00F06159">
        <w:tc>
          <w:tcPr>
            <w:tcW w:w="1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ELEMENTI I RAZINA USVOJENOSTI</w:t>
            </w:r>
          </w:p>
        </w:tc>
        <w:tc>
          <w:tcPr>
            <w:tcW w:w="26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zadovoljavajuća</w:t>
            </w:r>
          </w:p>
        </w:tc>
        <w:tc>
          <w:tcPr>
            <w:tcW w:w="30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dobra</w:t>
            </w:r>
          </w:p>
        </w:tc>
        <w:tc>
          <w:tcPr>
            <w:tcW w:w="24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vrlo dobra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iznimna</w:t>
            </w:r>
          </w:p>
        </w:tc>
      </w:tr>
      <w:tr w:rsidR="00F06159" w:rsidRPr="00F06159" w:rsidTr="00F06159">
        <w:tc>
          <w:tcPr>
            <w:tcW w:w="16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STRUKTURIRANJE SADRŽAJA</w:t>
            </w:r>
          </w:p>
        </w:tc>
        <w:tc>
          <w:tcPr>
            <w:tcW w:w="268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Sadržaj ne odgovara temi.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Nisu korišteni nikakvi primjeri.</w:t>
            </w:r>
          </w:p>
        </w:tc>
        <w:tc>
          <w:tcPr>
            <w:tcW w:w="30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Tema nije dobro prikazana.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Sadržaj je nedovoljno objedinjen i nisu korišteni precizni primjeri ili uopće nema primjera</w:t>
            </w:r>
          </w:p>
        </w:tc>
        <w:tc>
          <w:tcPr>
            <w:tcW w:w="24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Tema je u potpunosti prikazana, ali nisu odabrani precizni primjeri.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Sadržaj je sistematičan, ali preopširan.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Tema je u potpunosti prikazana, uz povezivanje i dodavanje dobro odabranih primjera.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Sadržaj je sistematičan.</w:t>
            </w:r>
          </w:p>
        </w:tc>
      </w:tr>
      <w:tr w:rsidR="00F06159" w:rsidRPr="00F06159" w:rsidTr="00F06159">
        <w:tc>
          <w:tcPr>
            <w:tcW w:w="1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TOČNOST PODATAKA</w:t>
            </w:r>
          </w:p>
        </w:tc>
        <w:tc>
          <w:tcPr>
            <w:tcW w:w="266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Postoje bitne pogreške u podatcima.</w:t>
            </w:r>
          </w:p>
        </w:tc>
        <w:tc>
          <w:tcPr>
            <w:tcW w:w="301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Postoje manje pogreške u podacima.</w:t>
            </w:r>
          </w:p>
        </w:tc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Svi podaci su točni, ali su na nekim mjestima neprikladno odabrani.</w:t>
            </w:r>
          </w:p>
        </w:tc>
        <w:tc>
          <w:tcPr>
            <w:tcW w:w="286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Svi podaci su točni, jasno prikazani i prikladno odabrani.</w:t>
            </w:r>
          </w:p>
        </w:tc>
      </w:tr>
      <w:tr w:rsidR="00F06159" w:rsidRPr="00F06159" w:rsidTr="00F06159">
        <w:tc>
          <w:tcPr>
            <w:tcW w:w="164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PRIMJENA (IZLAGANJE)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Sadržaje slabo povezuje i izlaže nesigurno, potrebna je pomoć pri izlaganju.</w:t>
            </w:r>
          </w:p>
        </w:tc>
        <w:tc>
          <w:tcPr>
            <w:tcW w:w="303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Sadržaje  djelomično povezuje i rijetko primjenjuje.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Nije samostalan prilikom izlaganja.</w:t>
            </w:r>
          </w:p>
        </w:tc>
        <w:tc>
          <w:tcPr>
            <w:tcW w:w="24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Sadržaje  povezuje i povremeno primjenjuje.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 Izlaganje je samostalno i povezano.</w:t>
            </w:r>
          </w:p>
        </w:tc>
        <w:tc>
          <w:tcPr>
            <w:tcW w:w="271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Sadržaje  u potpunosti povezuje i spretno primjenjuje.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Izlaže samostalno, točno i jasno.</w:t>
            </w:r>
          </w:p>
        </w:tc>
      </w:tr>
    </w:tbl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</w:pPr>
      <w:r w:rsidRPr="00F06159"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  <w:t xml:space="preserve">2.3. </w:t>
      </w:r>
      <w:proofErr w:type="spellStart"/>
      <w:r w:rsidRPr="00F06159"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  <w:t>Ocjenjivanje</w:t>
      </w:r>
      <w:proofErr w:type="spellEnd"/>
      <w:r w:rsidRPr="00F06159"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  <w:t>istraživačkog</w:t>
      </w:r>
      <w:proofErr w:type="spellEnd"/>
      <w:r w:rsidRPr="00F06159"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  <w:t>rada</w:t>
      </w:r>
      <w:proofErr w:type="spellEnd"/>
      <w:r w:rsidRPr="00F06159"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color w:val="0070C0"/>
          <w:sz w:val="28"/>
          <w:szCs w:val="28"/>
          <w:lang w:val="en-US" w:eastAsia="hr-HR"/>
        </w:rPr>
        <w:t>učenika</w:t>
      </w:r>
      <w:proofErr w:type="spellEnd"/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Tablica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3.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Vrednovanje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prikupljanja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podataka</w:t>
      </w:r>
      <w:proofErr w:type="spellEnd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3736"/>
        <w:gridCol w:w="3650"/>
      </w:tblGrid>
      <w:tr w:rsidR="00F06159" w:rsidRPr="00F06159" w:rsidTr="00F06159">
        <w:tc>
          <w:tcPr>
            <w:tcW w:w="21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ELEMENTI NAPISANOG IZVJEŠĆA </w:t>
            </w:r>
          </w:p>
        </w:tc>
        <w:tc>
          <w:tcPr>
            <w:tcW w:w="5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49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F06159" w:rsidRPr="00F06159" w:rsidTr="00F06159">
        <w:tc>
          <w:tcPr>
            <w:tcW w:w="21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PROCJENA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 xml:space="preserve">KVALITETE </w:t>
            </w:r>
          </w:p>
        </w:tc>
        <w:tc>
          <w:tcPr>
            <w:tcW w:w="5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lastRenderedPageBreak/>
              <w:t>Dijelovi istraživanja</w:t>
            </w:r>
          </w:p>
        </w:tc>
        <w:tc>
          <w:tcPr>
            <w:tcW w:w="50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Literatura</w:t>
            </w:r>
          </w:p>
        </w:tc>
      </w:tr>
      <w:tr w:rsidR="00F06159" w:rsidRPr="00F06159" w:rsidTr="00F06159">
        <w:tc>
          <w:tcPr>
            <w:tcW w:w="21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Kompletno  </w:t>
            </w:r>
          </w:p>
        </w:tc>
        <w:tc>
          <w:tcPr>
            <w:tcW w:w="511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U radu su prisutni svi potrebni elementi i sadržaji su u njima pravilno raspoređeni.</w:t>
            </w:r>
          </w:p>
        </w:tc>
        <w:tc>
          <w:tcPr>
            <w:tcW w:w="50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 izradi izvješća korištena je i pravilno navedena literatura. </w:t>
            </w:r>
          </w:p>
        </w:tc>
      </w:tr>
      <w:tr w:rsidR="00F06159" w:rsidRPr="00F06159" w:rsidTr="00F06159">
        <w:tc>
          <w:tcPr>
            <w:tcW w:w="21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Djelomično </w:t>
            </w:r>
          </w:p>
        </w:tc>
        <w:tc>
          <w:tcPr>
            <w:tcW w:w="5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U radu se nalaze samo neki od potrebnih elementa i nisu svi sadržaji u njima pravilno raspoređeni.</w:t>
            </w:r>
          </w:p>
        </w:tc>
        <w:tc>
          <w:tcPr>
            <w:tcW w:w="50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 izradi izvješća korištena je i literatura ali nije u potpunosti pravilno navedena. </w:t>
            </w:r>
          </w:p>
        </w:tc>
      </w:tr>
      <w:tr w:rsidR="00F06159" w:rsidRPr="00F06159" w:rsidTr="00F06159">
        <w:tc>
          <w:tcPr>
            <w:tcW w:w="21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Ništa </w:t>
            </w:r>
          </w:p>
        </w:tc>
        <w:tc>
          <w:tcPr>
            <w:tcW w:w="510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Rad ne sadrži potrebne elemente i sadržaji nisu raspoređeni na primjeren način.</w:t>
            </w:r>
          </w:p>
        </w:tc>
        <w:tc>
          <w:tcPr>
            <w:tcW w:w="507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 izradi izvješća nije korištena literatura i  nije navedena literatura ili je navedena potpuno pogrešno. </w:t>
            </w:r>
          </w:p>
        </w:tc>
      </w:tr>
    </w:tbl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proofErr w:type="spellStart"/>
      <w:r w:rsidRPr="00F06159">
        <w:rPr>
          <w:rFonts w:ascii="Calibri" w:eastAsia="Times New Roman" w:hAnsi="Calibri" w:cs="Calibri"/>
          <w:lang w:val="en-US" w:eastAsia="hr-HR"/>
        </w:rPr>
        <w:t>Tablica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4.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Vrednovanje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rasprave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3691"/>
        <w:gridCol w:w="3947"/>
      </w:tblGrid>
      <w:tr w:rsidR="00F06159" w:rsidRPr="00F06159" w:rsidTr="00F06159">
        <w:tc>
          <w:tcPr>
            <w:tcW w:w="168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PRIKUPLJANJE I OBRADA REZULTATA</w:t>
            </w:r>
          </w:p>
        </w:tc>
        <w:tc>
          <w:tcPr>
            <w:tcW w:w="51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539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F06159" w:rsidRPr="00F06159" w:rsidTr="00F06159">
        <w:tc>
          <w:tcPr>
            <w:tcW w:w="16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PROCJENA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KVALITETE </w:t>
            </w:r>
          </w:p>
        </w:tc>
        <w:tc>
          <w:tcPr>
            <w:tcW w:w="51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Bilježenje prikupljenih podataka</w:t>
            </w:r>
          </w:p>
        </w:tc>
        <w:tc>
          <w:tcPr>
            <w:tcW w:w="54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Organiziranje i prikaz prikupljenih podataka</w:t>
            </w:r>
          </w:p>
        </w:tc>
      </w:tr>
      <w:tr w:rsidR="00F06159" w:rsidRPr="00F06159" w:rsidTr="00F06159">
        <w:tc>
          <w:tcPr>
            <w:tcW w:w="16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Kompletno  </w:t>
            </w:r>
          </w:p>
        </w:tc>
        <w:tc>
          <w:tcPr>
            <w:tcW w:w="51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Zabilježeni su  i obrađeni svi odgovarajući podatci (sistematizirano, jasno prikazana samo opažanja,  mjerne jedinice i odgovarajućim brojem decimalnih mjesta, srednja vrijednost, postoci…).</w:t>
            </w:r>
          </w:p>
        </w:tc>
        <w:tc>
          <w:tcPr>
            <w:tcW w:w="54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Podaci su jasno prikazani za interpretaciju (tablice, oznake,imenovane kolone, mjerne jedinice u kolonama ili redovima, a ne iza svakog podatka, grafikoni s naslovom i objašnjenjima, numerirani, mjerne jedinice...).</w:t>
            </w:r>
          </w:p>
        </w:tc>
      </w:tr>
      <w:tr w:rsidR="00F06159" w:rsidRPr="00F06159" w:rsidTr="00F06159">
        <w:tc>
          <w:tcPr>
            <w:tcW w:w="16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Djelomično </w:t>
            </w:r>
          </w:p>
        </w:tc>
        <w:tc>
          <w:tcPr>
            <w:tcW w:w="517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Zabilježen i obrađen je samo dio podataka, nisu jasno odvojena zapažanja od zaključaka, neusklađeno, samo dio ili bez mjernih jedinica.</w:t>
            </w:r>
          </w:p>
        </w:tc>
        <w:tc>
          <w:tcPr>
            <w:tcW w:w="54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Prikupljeni i obrađeni podatci su prezentirani, ali bez organizacije, tablice i oznaka…</w:t>
            </w:r>
          </w:p>
        </w:tc>
      </w:tr>
      <w:tr w:rsidR="00F06159" w:rsidRPr="00F06159" w:rsidTr="00F06159">
        <w:tc>
          <w:tcPr>
            <w:tcW w:w="165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Ništa </w:t>
            </w:r>
          </w:p>
        </w:tc>
        <w:tc>
          <w:tcPr>
            <w:tcW w:w="515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Nisu zabilježeni odgovarajući podaci, a prikupljeni podaci nisu obrađeni ili ima većih grešaka u obradi. </w:t>
            </w:r>
          </w:p>
        </w:tc>
        <w:tc>
          <w:tcPr>
            <w:tcW w:w="54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Prikupljeni i obrađeni podatci nisu prikazani ili nisu primjereni   (neuredno, nečitko, nema tablice, neprimjeren papir, išarano, neoznačeno ili krivo označeno).</w:t>
            </w:r>
          </w:p>
        </w:tc>
      </w:tr>
    </w:tbl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proofErr w:type="spellStart"/>
      <w:r w:rsidRPr="00F06159">
        <w:rPr>
          <w:rFonts w:ascii="Calibri" w:eastAsia="Times New Roman" w:hAnsi="Calibri" w:cs="Calibri"/>
          <w:lang w:val="en-US" w:eastAsia="hr-HR"/>
        </w:rPr>
        <w:t>Tablica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5.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Vrednovanje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zaključaka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samog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rada</w:t>
      </w:r>
      <w:proofErr w:type="spellEnd"/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2329"/>
        <w:gridCol w:w="2532"/>
        <w:gridCol w:w="3068"/>
      </w:tblGrid>
      <w:tr w:rsidR="00F06159" w:rsidRPr="00F06159" w:rsidTr="00F06159"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RASPRAVA I ZAKLJUČAK</w:t>
            </w:r>
          </w:p>
        </w:tc>
        <w:tc>
          <w:tcPr>
            <w:tcW w:w="3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3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42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F06159" w:rsidRPr="00F06159" w:rsidTr="00F06159">
        <w:tc>
          <w:tcPr>
            <w:tcW w:w="1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PROCJENA </w:t>
            </w:r>
          </w:p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KVALITETE </w:t>
            </w:r>
          </w:p>
        </w:tc>
        <w:tc>
          <w:tcPr>
            <w:tcW w:w="3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Rasprava</w:t>
            </w:r>
          </w:p>
        </w:tc>
        <w:tc>
          <w:tcPr>
            <w:tcW w:w="3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Zaključak</w:t>
            </w:r>
          </w:p>
        </w:tc>
        <w:tc>
          <w:tcPr>
            <w:tcW w:w="4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b/>
                <w:bCs/>
                <w:lang w:eastAsia="hr-HR"/>
              </w:rPr>
              <w:t>Vrednovanje praktičnog rada i dobivenih rezultata</w:t>
            </w:r>
          </w:p>
        </w:tc>
      </w:tr>
      <w:tr w:rsidR="00F06159" w:rsidRPr="00F06159" w:rsidTr="00F06159"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Kompletno  </w:t>
            </w:r>
          </w:p>
        </w:tc>
        <w:tc>
          <w:tcPr>
            <w:tcW w:w="313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 raspravi su komentirani svi dobiveni rezultati i grafikoni koji su </w:t>
            </w: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prikazani u istraživanju.</w:t>
            </w:r>
          </w:p>
        </w:tc>
        <w:tc>
          <w:tcPr>
            <w:tcW w:w="3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Ispravan zaključak na temelju točne interpretacije rezultata uz teorijsko objašnjenje i </w:t>
            </w: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ponekad podatke iz literature</w:t>
            </w:r>
          </w:p>
        </w:tc>
        <w:tc>
          <w:tcPr>
            <w:tcW w:w="43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Komentiran je sam proces rada i rezultati uz isticanje ograničenja, slabosti ili grešaka. Predložene su promjene koje bi </w:t>
            </w: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>poboljšale sljedeće istraživanje.</w:t>
            </w:r>
          </w:p>
        </w:tc>
      </w:tr>
      <w:tr w:rsidR="00F06159" w:rsidRPr="00F06159" w:rsidTr="00F06159">
        <w:tc>
          <w:tcPr>
            <w:tcW w:w="138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lastRenderedPageBreak/>
              <w:t xml:space="preserve">Djelomično </w:t>
            </w:r>
          </w:p>
        </w:tc>
        <w:tc>
          <w:tcPr>
            <w:tcW w:w="3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 raspravi je komentiran samo dio podataka prikupljenih istraživanjem i prikazanih u rezultatima. </w:t>
            </w:r>
          </w:p>
        </w:tc>
        <w:tc>
          <w:tcPr>
            <w:tcW w:w="354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Zaključak je samo djelomice valjan ili napisan ili nema teorijsko objašnjenja</w:t>
            </w:r>
          </w:p>
        </w:tc>
        <w:tc>
          <w:tcPr>
            <w:tcW w:w="45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Komentiran je proces rada i rezultati, ali nedostaje uočavanje nekih nedostataka i vidljivih grešaka i slabosti. Nema prijedloga za poboljšanje budućeg istraživanja. </w:t>
            </w:r>
          </w:p>
        </w:tc>
      </w:tr>
      <w:tr w:rsidR="00F06159" w:rsidRPr="00F06159" w:rsidTr="00F06159">
        <w:tc>
          <w:tcPr>
            <w:tcW w:w="13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Ništa </w:t>
            </w:r>
          </w:p>
        </w:tc>
        <w:tc>
          <w:tcPr>
            <w:tcW w:w="311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 xml:space="preserve">U raspravi uopće nisu korišteni rezultati prikupljeni istraživanjem. </w:t>
            </w:r>
          </w:p>
        </w:tc>
        <w:tc>
          <w:tcPr>
            <w:tcW w:w="351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Zaključak krivo tumači rezultate ili ga nema</w:t>
            </w:r>
          </w:p>
        </w:tc>
        <w:tc>
          <w:tcPr>
            <w:tcW w:w="452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F06159" w:rsidRPr="00F06159" w:rsidRDefault="00F06159" w:rsidP="00F0615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06159">
              <w:rPr>
                <w:rFonts w:ascii="Calibri" w:eastAsia="Times New Roman" w:hAnsi="Calibri" w:cs="Calibri"/>
                <w:lang w:eastAsia="hr-HR"/>
              </w:rPr>
              <w:t>Komentiranje istraživanja je površno i uočene su nebitne stvari umjesto bitnih.</w:t>
            </w:r>
          </w:p>
        </w:tc>
      </w:tr>
    </w:tbl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</w:p>
    <w:p w:rsidR="00F06159" w:rsidRPr="006A3458" w:rsidRDefault="00F06159" w:rsidP="00F06159">
      <w:pPr>
        <w:spacing w:before="100" w:after="100" w:line="240" w:lineRule="auto"/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hr-HR"/>
        </w:rPr>
      </w:pPr>
      <w:bookmarkStart w:id="0" w:name="_GoBack"/>
      <w:r w:rsidRPr="006A3458">
        <w:rPr>
          <w:rFonts w:ascii="Calibri" w:eastAsia="Times New Roman" w:hAnsi="Calibri" w:cs="Calibri"/>
          <w:color w:val="C45911" w:themeColor="accent2" w:themeShade="BF"/>
          <w:sz w:val="28"/>
          <w:szCs w:val="28"/>
          <w:lang w:eastAsia="hr-HR"/>
        </w:rPr>
        <w:t>Upute za izradu domaćih zadaća, seminarskih radova, prezentacija, praktičnih radova</w:t>
      </w:r>
    </w:p>
    <w:bookmarkEnd w:id="0"/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b/>
          <w:bCs/>
          <w:lang w:eastAsia="hr-HR"/>
        </w:rPr>
        <w:t>SEMINARSKI RADOVI:</w:t>
      </w:r>
      <w:r w:rsidRPr="00F06159">
        <w:rPr>
          <w:rFonts w:ascii="Calibri" w:eastAsia="Times New Roman" w:hAnsi="Calibri" w:cs="Calibri"/>
          <w:lang w:eastAsia="hr-HR"/>
        </w:rPr>
        <w:t xml:space="preserve"> predaju se u pisanom obliku na papiru formata A4. Pišu se koristeći fontove Arial, Tahoma ili Verdana, veličine 12 piksela, tekst u proredu 1,5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Naslovna stranica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Na vrhu stranice:                                          IME ŠKOLE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Na sredini stranice:                                    NAZIV TEME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                                                                 (SEMINARSKI RAD)</w:t>
      </w:r>
    </w:p>
    <w:p w:rsidR="00F06159" w:rsidRPr="00F06159" w:rsidRDefault="00F06159" w:rsidP="00F06159">
      <w:pPr>
        <w:spacing w:before="100" w:after="100" w:line="240" w:lineRule="auto"/>
        <w:ind w:left="3240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 IME I PREZIME, RAZRED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Na dnu stranice:           IME I PREZIME MENTORA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                                              šk. god. 20</w:t>
      </w:r>
      <w:r w:rsidR="00DF5A7B">
        <w:rPr>
          <w:rFonts w:ascii="Calibri" w:eastAsia="Times New Roman" w:hAnsi="Calibri" w:cs="Calibri"/>
          <w:lang w:eastAsia="hr-HR"/>
        </w:rPr>
        <w:t>19./2020</w:t>
      </w:r>
      <w:r w:rsidRPr="00F06159">
        <w:rPr>
          <w:rFonts w:ascii="Calibri" w:eastAsia="Times New Roman" w:hAnsi="Calibri" w:cs="Calibri"/>
          <w:lang w:eastAsia="hr-HR"/>
        </w:rPr>
        <w:t>.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Poglavlja moraju biti strukturirana na sljedeći način:</w:t>
      </w:r>
    </w:p>
    <w:p w:rsidR="00F06159" w:rsidRPr="00F06159" w:rsidRDefault="00F06159" w:rsidP="00F06159">
      <w:pPr>
        <w:spacing w:before="100" w:after="100" w:line="240" w:lineRule="auto"/>
        <w:ind w:left="540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1. UVOD (u kojem se ukratko obrazlaže glavna ideja rada i zašto je izabrana određena tema).</w:t>
      </w:r>
    </w:p>
    <w:p w:rsidR="00F06159" w:rsidRPr="00F06159" w:rsidRDefault="00F06159" w:rsidP="00F06159">
      <w:pPr>
        <w:spacing w:before="100" w:after="100" w:line="240" w:lineRule="auto"/>
        <w:ind w:left="540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2. RAZRADA TEME (poglavlja i potpoglavlja označena ovisno o potrebama rada).</w:t>
      </w:r>
    </w:p>
    <w:p w:rsidR="00F06159" w:rsidRPr="00F06159" w:rsidRDefault="00F06159" w:rsidP="00F06159">
      <w:pPr>
        <w:spacing w:before="100" w:after="100" w:line="240" w:lineRule="auto"/>
        <w:ind w:left="540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3. ZAKLJUČAK (što se može zaključiti iz teme).</w:t>
      </w:r>
    </w:p>
    <w:p w:rsidR="00F06159" w:rsidRPr="00F06159" w:rsidRDefault="00F06159" w:rsidP="00F06159">
      <w:pPr>
        <w:spacing w:before="100" w:after="100" w:line="240" w:lineRule="auto"/>
        <w:ind w:left="540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4. POPIS LITERATURE (na sljedeći način: Kešina Ivan: Ekološka etika i Jonasov princip odgovornosti, Filozofska istraživanja, god. 23., sv. 4., str. 1111-1127, Zagreb, 2003.)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Ukoliko ima slika i tablica, one trebaju biti pravilno označene i u tekstu treba biti označeno što određena slika ili tablica prikazuje.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b/>
          <w:bCs/>
          <w:lang w:eastAsia="hr-HR"/>
        </w:rPr>
        <w:t>PRAKTIČNI RADOVI:</w:t>
      </w:r>
      <w:r w:rsidRPr="00F06159">
        <w:rPr>
          <w:rFonts w:ascii="Calibri" w:eastAsia="Times New Roman" w:hAnsi="Calibri" w:cs="Calibri"/>
          <w:lang w:eastAsia="hr-HR"/>
        </w:rPr>
        <w:t xml:space="preserve"> učenici izvode samostalno kada za to postoji pribor, ponekad će biti zadani neki praktični rad povezan sa svakodnevnim životom. Učenici predaju praktični rad na papiru formata A4.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> 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Na vrhu stranice:     IME I PREZIME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Ispod:                         NASLOV PRAKTIČNOG RADA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r w:rsidRPr="00F06159">
        <w:rPr>
          <w:rFonts w:ascii="Calibri" w:eastAsia="Times New Roman" w:hAnsi="Calibri" w:cs="Calibri"/>
          <w:lang w:val="en-US" w:eastAsia="hr-HR"/>
        </w:rPr>
        <w:t> 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lastRenderedPageBreak/>
        <w:t xml:space="preserve">Praktični rad treba sadržavati: </w:t>
      </w:r>
    </w:p>
    <w:p w:rsidR="00F06159" w:rsidRPr="00F06159" w:rsidRDefault="00F06159" w:rsidP="00F06159">
      <w:pPr>
        <w:numPr>
          <w:ilvl w:val="0"/>
          <w:numId w:val="2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Pribor i kemikalije (koji se koristi prilikom izvođenja)</w:t>
      </w:r>
    </w:p>
    <w:p w:rsidR="00F06159" w:rsidRPr="00F06159" w:rsidRDefault="00F06159" w:rsidP="00F06159">
      <w:pPr>
        <w:numPr>
          <w:ilvl w:val="0"/>
          <w:numId w:val="2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Opis rada (opisati tijek izvođenja eksperimenta) </w:t>
      </w:r>
    </w:p>
    <w:p w:rsidR="00F06159" w:rsidRPr="00F06159" w:rsidRDefault="00F06159" w:rsidP="00F06159">
      <w:pPr>
        <w:numPr>
          <w:ilvl w:val="0"/>
          <w:numId w:val="2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Crtež (skica aparature za izvođenje pokusa)</w:t>
      </w:r>
    </w:p>
    <w:p w:rsidR="00F06159" w:rsidRPr="00F06159" w:rsidRDefault="00F06159" w:rsidP="00F06159">
      <w:pPr>
        <w:numPr>
          <w:ilvl w:val="0"/>
          <w:numId w:val="2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Rezultati (prikazani tablično i/ili grafički)</w:t>
      </w:r>
    </w:p>
    <w:p w:rsidR="00F06159" w:rsidRPr="00F06159" w:rsidRDefault="00F06159" w:rsidP="00F06159">
      <w:pPr>
        <w:numPr>
          <w:ilvl w:val="0"/>
          <w:numId w:val="2"/>
        </w:numPr>
        <w:spacing w:before="100" w:after="100" w:line="240" w:lineRule="auto"/>
        <w:ind w:left="540"/>
        <w:textAlignment w:val="center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Zaključak (što zaključujemo iz izvedenog praktičnog rada i sa čime ga i kako možemo povezati)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Praktični rad se ocjenjuje po elementima i kriterijima za svaku nastavnu temu posebno.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 xml:space="preserve">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b/>
          <w:bCs/>
          <w:lang w:eastAsia="hr-HR"/>
        </w:rPr>
        <w:t>PREZENTACIJE</w:t>
      </w:r>
      <w:r w:rsidRPr="00F06159">
        <w:rPr>
          <w:rFonts w:ascii="Calibri" w:eastAsia="Times New Roman" w:hAnsi="Calibri" w:cs="Calibri"/>
          <w:lang w:eastAsia="hr-HR"/>
        </w:rPr>
        <w:t xml:space="preserve"> u Power Pointu učenici sami izrađuju i izlažu, a teme mogu biti ponuđene ili ih mogu samostalno odabrati.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lang w:eastAsia="hr-HR"/>
        </w:rPr>
        <w:t>Ocjena iz prezentacije temelji se na kvaliteti sadržaja u prezentaciji, izrade prezentacije, izlaganju prezentiacije i prema potrebi izradi radnih listića (ili neke druge vrste zadatka za ponavljanje).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b/>
          <w:bCs/>
          <w:lang w:eastAsia="hr-HR"/>
        </w:rPr>
        <w:t xml:space="preserve"> 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eastAsia="hr-HR"/>
        </w:rPr>
      </w:pPr>
      <w:r w:rsidRPr="00F06159">
        <w:rPr>
          <w:rFonts w:ascii="Calibri" w:eastAsia="Times New Roman" w:hAnsi="Calibri" w:cs="Calibri"/>
          <w:b/>
          <w:bCs/>
          <w:lang w:eastAsia="hr-HR"/>
        </w:rPr>
        <w:t>Utvrđivanje zaključne  godišnje  ocjene</w:t>
      </w:r>
    </w:p>
    <w:p w:rsidR="00F06159" w:rsidRPr="00F06159" w:rsidRDefault="00F06159" w:rsidP="00F06159">
      <w:pPr>
        <w:spacing w:before="100" w:after="100" w:line="240" w:lineRule="auto"/>
        <w:rPr>
          <w:rFonts w:ascii="Calibri" w:eastAsia="Times New Roman" w:hAnsi="Calibri" w:cs="Calibri"/>
          <w:lang w:val="en-US" w:eastAsia="hr-HR"/>
        </w:rPr>
      </w:pPr>
      <w:proofErr w:type="spellStart"/>
      <w:r w:rsidRPr="00F06159">
        <w:rPr>
          <w:rFonts w:ascii="Calibri" w:eastAsia="Times New Roman" w:hAnsi="Calibri" w:cs="Calibri"/>
          <w:lang w:val="en-US" w:eastAsia="hr-HR"/>
        </w:rPr>
        <w:t>Utvrđivanje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zaključne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godišnje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(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sukladno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zakonskim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propisima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) ne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mora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biti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aritmetička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sredina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upisanih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u </w:t>
      </w:r>
      <w:proofErr w:type="spellStart"/>
      <w:proofErr w:type="gramStart"/>
      <w:r w:rsidRPr="00F06159">
        <w:rPr>
          <w:rFonts w:ascii="Calibri" w:eastAsia="Times New Roman" w:hAnsi="Calibri" w:cs="Calibri"/>
          <w:lang w:val="en-US" w:eastAsia="hr-HR"/>
        </w:rPr>
        <w:t>ocjensku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rešetku</w:t>
      </w:r>
      <w:proofErr w:type="spellEnd"/>
      <w:proofErr w:type="gram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Imenika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Zaključna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godišnja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proizlazi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iz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cjelogodišnjeg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rada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kod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kuće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satu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pokazane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usvojenosti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sadržaja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kao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primjene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znanja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Kako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bi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zaključna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bila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što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točnija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mjera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znanja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učenika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nastavnici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bi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trebali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imati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što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veći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broj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Točnost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kao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stimulativnost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povećava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se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češćim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ispitivanjima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ocjenjivanjima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Pogreška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mjerenja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je to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manja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što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je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veći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broj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mjerenja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Zaključna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treba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odražavati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ono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što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je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učenik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dominantno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pokazao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u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vrednovanju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naučenoga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u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pojedinim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elementima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ali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znanja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vještine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procijenjene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u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vrednovanju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kao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učenje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učenje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Zaključna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se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izvodi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uzimajući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u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obzir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težinu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(</w:t>
      </w:r>
      <w:r w:rsidRPr="00F06159">
        <w:rPr>
          <w:rFonts w:ascii="Calibri" w:eastAsia="Times New Roman" w:hAnsi="Calibri" w:cs="Calibri"/>
          <w:i/>
          <w:iCs/>
          <w:lang w:val="en-US" w:eastAsia="hr-HR"/>
        </w:rPr>
        <w:t>ponder</w:t>
      </w:r>
      <w:r w:rsidRPr="00F06159">
        <w:rPr>
          <w:rFonts w:ascii="Calibri" w:eastAsia="Times New Roman" w:hAnsi="Calibri" w:cs="Calibri"/>
          <w:lang w:val="en-US" w:eastAsia="hr-HR"/>
        </w:rPr>
        <w:t xml:space="preserve">)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pojedinoga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elementa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ocjenjivanja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Ukoliko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se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učitelj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odluči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dva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elementa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ocjenjivanja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oba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sudjeluju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ravnopravno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u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izvođenju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zaključne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U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slučaju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izbora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triju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elemenata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proofErr w:type="gramStart"/>
      <w:r w:rsidRPr="00F06159">
        <w:rPr>
          <w:rFonts w:ascii="Calibri" w:eastAsia="Times New Roman" w:hAnsi="Calibri" w:cs="Calibri"/>
          <w:lang w:val="en-US" w:eastAsia="hr-HR"/>
        </w:rPr>
        <w:t>ocjenjivanja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usvojenost</w:t>
      </w:r>
      <w:proofErr w:type="spellEnd"/>
      <w:proofErr w:type="gram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nastavnih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sadržaja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nosi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40 %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,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koliko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prirodoznanstveni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pristup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, a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ostatak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(20 %)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treći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element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ocjenjivanja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izboru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učitelja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Primjer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izvođenja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zaključne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pomoću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težinskih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udjela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(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ponderiranja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)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opisan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je u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Pojmovniku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Kurikuluma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predmeta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Kemija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Osim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zaključne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ocjene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učitelj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daje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i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sumarnu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procjenu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usvojenosti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određenih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elemenata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generičkih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 </w:t>
      </w:r>
      <w:proofErr w:type="spellStart"/>
      <w:r w:rsidRPr="00F06159">
        <w:rPr>
          <w:rFonts w:ascii="Calibri" w:eastAsia="Times New Roman" w:hAnsi="Calibri" w:cs="Calibri"/>
          <w:lang w:val="en-US" w:eastAsia="hr-HR"/>
        </w:rPr>
        <w:t>kompetencija</w:t>
      </w:r>
      <w:proofErr w:type="spellEnd"/>
      <w:r w:rsidRPr="00F06159">
        <w:rPr>
          <w:rFonts w:ascii="Calibri" w:eastAsia="Times New Roman" w:hAnsi="Calibri" w:cs="Calibri"/>
          <w:lang w:val="en-US" w:eastAsia="hr-HR"/>
        </w:rPr>
        <w:t xml:space="preserve">. </w:t>
      </w:r>
    </w:p>
    <w:p w:rsidR="00F06159" w:rsidRDefault="00F06159"/>
    <w:sectPr w:rsidR="00F0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77D"/>
    <w:multiLevelType w:val="multilevel"/>
    <w:tmpl w:val="A6C8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3C4BFD"/>
    <w:multiLevelType w:val="multilevel"/>
    <w:tmpl w:val="DE3C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59"/>
    <w:rsid w:val="00497499"/>
    <w:rsid w:val="005952B5"/>
    <w:rsid w:val="00596308"/>
    <w:rsid w:val="006A3458"/>
    <w:rsid w:val="00AC46C4"/>
    <w:rsid w:val="00DF5A7B"/>
    <w:rsid w:val="00F0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2254</Words>
  <Characters>12850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User</cp:lastModifiedBy>
  <cp:revision>2</cp:revision>
  <dcterms:created xsi:type="dcterms:W3CDTF">2023-10-26T18:55:00Z</dcterms:created>
  <dcterms:modified xsi:type="dcterms:W3CDTF">2023-10-26T18:55:00Z</dcterms:modified>
</cp:coreProperties>
</file>