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416C" w14:textId="77777777" w:rsidR="00022812" w:rsidRDefault="00A43CED">
      <w:pPr>
        <w:jc w:val="center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Posebni izvještaji u godišnjem  izvještaju o izvršenju financijskog plana proračunskog i  korisnika</w:t>
      </w:r>
    </w:p>
    <w:p w14:paraId="6DEF8481" w14:textId="77777777" w:rsidR="00022812" w:rsidRDefault="00A43CED">
      <w:pPr>
        <w:jc w:val="center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PRVA OSNOVNA ŠKOLA, OGULIN</w:t>
      </w:r>
    </w:p>
    <w:p w14:paraId="18BB3284" w14:textId="77777777" w:rsidR="00022812" w:rsidRDefault="00022812">
      <w:pPr>
        <w:jc w:val="center"/>
        <w:rPr>
          <w:rFonts w:ascii="Cambria" w:hAnsi="Cambria"/>
          <w:b/>
          <w:bCs/>
          <w:color w:val="000000"/>
          <w:sz w:val="21"/>
          <w:szCs w:val="21"/>
        </w:rPr>
      </w:pPr>
    </w:p>
    <w:p w14:paraId="608DA9EC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Posebni izvještaji u godišnjem izvještaju o izvršenju financijskog plana proračunskog i </w:t>
      </w:r>
      <w:r>
        <w:rPr>
          <w:rFonts w:ascii="Cambria" w:hAnsi="Cambria"/>
          <w:color w:val="000000"/>
          <w:sz w:val="21"/>
          <w:szCs w:val="21"/>
        </w:rPr>
        <w:t>izvanproračunskog korisnika propisani su čl. 46 Pravilnika o polugodišnjem i godišnjem izvještaju o izvršenju proračuna i financijskog plana (NN 85/2023).</w:t>
      </w:r>
    </w:p>
    <w:p w14:paraId="35BCB6E0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Posebni izvještaji koji se sastavljaju uz godišnji izvještaj o izvršenju financijskog plana proračunskog korisnika su:</w:t>
      </w:r>
    </w:p>
    <w:p w14:paraId="23C077AF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29BC32EB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- izvještaj o zaduživanju na domaćem i stranom tržištu novca i kapitala,</w:t>
      </w:r>
    </w:p>
    <w:p w14:paraId="33FA19A5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- izvještaj o korištenju sredstava fondova Europske unije,</w:t>
      </w:r>
    </w:p>
    <w:p w14:paraId="1CB6923B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- izvještaj o danim zajmovima i potraživanjima po danim zajmovima,</w:t>
      </w:r>
    </w:p>
    <w:p w14:paraId="23149942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- izvještaj o stanju potraživanja i dospjelih obaveza te o stanju potencijalnih obveza po osnovi sudskih sporova</w:t>
      </w:r>
    </w:p>
    <w:p w14:paraId="684838D0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35B87A7A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Pored toga, posebni izvještaji mogu sadržavati i Izvještaj o danim jamstvima i plaćanjima po protestiranim mjenicama.</w:t>
      </w:r>
    </w:p>
    <w:p w14:paraId="013F57EA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761C6B52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3B4E1549" w14:textId="77777777" w:rsidR="00022812" w:rsidRDefault="00A43CED">
      <w:pPr>
        <w:jc w:val="both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Izvještaj o zaduživanju na domaćem i stranom tržištu novca i kapitala</w:t>
      </w:r>
    </w:p>
    <w:p w14:paraId="3D93777F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5D5C2524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3309C666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Prva osnovna škola nije se zaduživao na domaćem i stranom tržištu novca i kapitala.</w:t>
      </w:r>
    </w:p>
    <w:p w14:paraId="190CF53F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21294296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46EC4005" w14:textId="77777777" w:rsidR="00022812" w:rsidRDefault="00A43CED">
      <w:pPr>
        <w:jc w:val="both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Izvještaj o korištenju sredstava fondova Europske unije</w:t>
      </w:r>
    </w:p>
    <w:p w14:paraId="7060DD40" w14:textId="77777777" w:rsidR="00022812" w:rsidRDefault="00A43CED">
      <w:pPr>
        <w:jc w:val="both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</w:p>
    <w:p w14:paraId="4F14CD7F" w14:textId="77777777" w:rsidR="00022812" w:rsidRDefault="00A43CED">
      <w:pPr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bCs/>
          <w:color w:val="000000"/>
          <w:sz w:val="21"/>
          <w:szCs w:val="21"/>
        </w:rPr>
        <w:t>Prva osnovna škola nije koristila sredstva direktno od fondova Europske unije.</w:t>
      </w:r>
    </w:p>
    <w:p w14:paraId="6C1C54AE" w14:textId="77777777" w:rsidR="00022812" w:rsidRDefault="00022812">
      <w:pPr>
        <w:jc w:val="both"/>
        <w:rPr>
          <w:rFonts w:ascii="Cambria" w:hAnsi="Cambria"/>
          <w:color w:val="000000"/>
          <w:sz w:val="21"/>
          <w:szCs w:val="21"/>
        </w:rPr>
      </w:pPr>
    </w:p>
    <w:p w14:paraId="15E9855C" w14:textId="77777777" w:rsidR="00022812" w:rsidRDefault="00022812">
      <w:pPr>
        <w:pStyle w:val="Naslov3"/>
        <w:jc w:val="both"/>
        <w:rPr>
          <w:rFonts w:ascii="Open Sans" w:hAnsi="Open Sans"/>
          <w:b w:val="0"/>
          <w:color w:val="000000"/>
          <w:sz w:val="21"/>
        </w:rPr>
      </w:pPr>
    </w:p>
    <w:p w14:paraId="3AADCE7F" w14:textId="77777777" w:rsidR="00022812" w:rsidRDefault="00A43CED">
      <w:pPr>
        <w:pStyle w:val="Textbody"/>
        <w:jc w:val="both"/>
        <w:rPr>
          <w:rFonts w:ascii="Cambria" w:hAnsi="Cambria"/>
          <w:color w:val="000000"/>
          <w:sz w:val="21"/>
        </w:rPr>
      </w:pPr>
      <w:r>
        <w:rPr>
          <w:rFonts w:ascii="Cambria" w:hAnsi="Cambria"/>
          <w:color w:val="000000"/>
          <w:sz w:val="21"/>
        </w:rPr>
        <w:t xml:space="preserve">Prihodi i </w:t>
      </w:r>
      <w:r>
        <w:rPr>
          <w:rFonts w:ascii="Cambria" w:hAnsi="Cambria"/>
          <w:color w:val="000000"/>
          <w:sz w:val="21"/>
        </w:rPr>
        <w:t>rashodi za proračunsku godinu 2023.</w:t>
      </w:r>
    </w:p>
    <w:tbl>
      <w:tblPr>
        <w:tblW w:w="970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1318"/>
        <w:gridCol w:w="964"/>
        <w:gridCol w:w="1078"/>
        <w:gridCol w:w="850"/>
        <w:gridCol w:w="2841"/>
      </w:tblGrid>
      <w:tr w:rsidR="00022812" w14:paraId="5B6272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8D7C131" w14:textId="77777777" w:rsidR="00022812" w:rsidRDefault="00A43CED">
            <w:pPr>
              <w:pStyle w:val="Standard"/>
              <w:jc w:val="center"/>
              <w:rPr>
                <w:rFonts w:hint="eastAsia"/>
              </w:rPr>
            </w:pPr>
            <w:r>
              <w:t>EU Fond</w:t>
            </w:r>
          </w:p>
        </w:tc>
        <w:tc>
          <w:tcPr>
            <w:tcW w:w="7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81B5396" w14:textId="77777777" w:rsidR="00022812" w:rsidRDefault="00A43CED">
            <w:pPr>
              <w:pStyle w:val="Standard"/>
              <w:jc w:val="center"/>
              <w:rPr>
                <w:rFonts w:hint="eastAsia"/>
              </w:rPr>
            </w:pPr>
            <w:r>
              <w:t>31. prosinac 2023.g</w:t>
            </w:r>
          </w:p>
        </w:tc>
      </w:tr>
      <w:tr w:rsidR="00022812" w14:paraId="5D1C96E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AD7AC6C" w14:textId="77777777" w:rsidR="00022812" w:rsidRDefault="00022812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EFE922F" w14:textId="77777777" w:rsidR="00022812" w:rsidRDefault="00A43CED">
            <w:pPr>
              <w:pStyle w:val="Standard"/>
              <w:rPr>
                <w:rFonts w:hint="eastAsia"/>
              </w:rPr>
            </w:pPr>
            <w:r>
              <w:t>Prihodi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73B0518" w14:textId="77777777" w:rsidR="00022812" w:rsidRDefault="00A43CED">
            <w:pPr>
              <w:pStyle w:val="Standard"/>
              <w:rPr>
                <w:rFonts w:hint="eastAsia"/>
              </w:rPr>
            </w:pPr>
            <w:r>
              <w:t>Primici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E3F3279" w14:textId="77777777" w:rsidR="00022812" w:rsidRDefault="00A43CED">
            <w:pPr>
              <w:pStyle w:val="Standard"/>
              <w:rPr>
                <w:rFonts w:hint="eastAsia"/>
              </w:rPr>
            </w:pPr>
            <w:r>
              <w:t>Rashodi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80341C" w14:textId="77777777" w:rsidR="00022812" w:rsidRDefault="00A43CED">
            <w:pPr>
              <w:pStyle w:val="Standard"/>
              <w:rPr>
                <w:rFonts w:hint="eastAsia"/>
              </w:rPr>
            </w:pPr>
            <w:r>
              <w:t>Izdaci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5BDC3C" w14:textId="77777777" w:rsidR="00022812" w:rsidRDefault="00A43CED">
            <w:pPr>
              <w:pStyle w:val="Standard"/>
              <w:rPr>
                <w:rFonts w:hint="eastAsia"/>
              </w:rPr>
            </w:pPr>
            <w:r>
              <w:t>Stanje potraživanja od EU</w:t>
            </w:r>
          </w:p>
        </w:tc>
      </w:tr>
      <w:tr w:rsidR="00022812" w14:paraId="3E9D43A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CD60319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9418E21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F65CBB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0505C7B" w14:textId="77777777" w:rsidR="00022812" w:rsidRDefault="00022812">
            <w:pPr>
              <w:pStyle w:val="Standard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F8BFC3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2E176F4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</w:tr>
      <w:tr w:rsidR="00022812" w14:paraId="32C9D96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23A70A2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FFCB73" w14:textId="77777777" w:rsidR="00022812" w:rsidRDefault="00022812">
            <w:pPr>
              <w:pStyle w:val="Standard"/>
              <w:jc w:val="right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2CB107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3902080" w14:textId="77777777" w:rsidR="00022812" w:rsidRDefault="00022812">
            <w:pPr>
              <w:pStyle w:val="Standard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B3BA8DD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CA025E" w14:textId="77777777" w:rsidR="00022812" w:rsidRDefault="00022812">
            <w:pPr>
              <w:pStyle w:val="Standard"/>
              <w:jc w:val="right"/>
              <w:rPr>
                <w:rFonts w:hint="eastAsia"/>
              </w:rPr>
            </w:pPr>
          </w:p>
        </w:tc>
      </w:tr>
      <w:tr w:rsidR="00022812" w14:paraId="5F59F5B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A6AEB9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89A250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02485E6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43169D3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B59001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E626218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</w:tr>
    </w:tbl>
    <w:p w14:paraId="1933E311" w14:textId="77777777" w:rsidR="00022812" w:rsidRDefault="00022812">
      <w:pPr>
        <w:pStyle w:val="Standard"/>
        <w:rPr>
          <w:rFonts w:hint="eastAsia"/>
        </w:rPr>
      </w:pPr>
    </w:p>
    <w:p w14:paraId="769AD37F" w14:textId="77777777" w:rsidR="00022812" w:rsidRDefault="00022812">
      <w:pPr>
        <w:pStyle w:val="Standard"/>
        <w:jc w:val="both"/>
        <w:rPr>
          <w:rFonts w:ascii="Open Sans" w:hAnsi="Open Sans"/>
          <w:color w:val="000000"/>
          <w:sz w:val="21"/>
        </w:rPr>
      </w:pPr>
    </w:p>
    <w:p w14:paraId="2CB0A48D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p w14:paraId="0FA580FA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tbl>
      <w:tblPr>
        <w:tblW w:w="970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3246"/>
        <w:gridCol w:w="3805"/>
      </w:tblGrid>
      <w:tr w:rsidR="00022812" w14:paraId="3A52A0C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1C2CC" w14:textId="77777777" w:rsidR="00022812" w:rsidRDefault="00A43CED">
            <w:pPr>
              <w:pStyle w:val="Standard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PODACI PO PROJEKTIMA U TIJEKU :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AECFD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</w:tr>
      <w:tr w:rsidR="00022812" w14:paraId="674DE3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F6164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  <w:tc>
          <w:tcPr>
            <w:tcW w:w="70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80469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</w:tr>
      <w:tr w:rsidR="00022812" w14:paraId="0621CB4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7DC2D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67B7F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C861C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</w:tr>
      <w:tr w:rsidR="00022812" w14:paraId="3215DF2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7EF904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3F314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1444C" w14:textId="77777777" w:rsidR="00022812" w:rsidRDefault="00022812">
            <w:pPr>
              <w:pStyle w:val="Standard"/>
              <w:rPr>
                <w:rFonts w:hint="eastAsia"/>
                <w:color w:val="000000"/>
              </w:rPr>
            </w:pPr>
          </w:p>
        </w:tc>
      </w:tr>
      <w:tr w:rsidR="00022812" w14:paraId="36F66C8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1F3A02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0119D9" w14:textId="77777777" w:rsidR="00022812" w:rsidRDefault="00022812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38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649595F" w14:textId="77777777" w:rsidR="00022812" w:rsidRDefault="00022812">
            <w:pPr>
              <w:pStyle w:val="Standard"/>
              <w:jc w:val="center"/>
              <w:rPr>
                <w:rFonts w:hint="eastAsia"/>
              </w:rPr>
            </w:pPr>
          </w:p>
        </w:tc>
      </w:tr>
    </w:tbl>
    <w:p w14:paraId="26AF2B4D" w14:textId="77777777" w:rsidR="00022812" w:rsidRDefault="00022812">
      <w:pPr>
        <w:pStyle w:val="Standard"/>
        <w:rPr>
          <w:rFonts w:hint="eastAsia"/>
        </w:rPr>
      </w:pPr>
    </w:p>
    <w:p w14:paraId="291CE6CA" w14:textId="77777777" w:rsidR="00022812" w:rsidRDefault="00022812">
      <w:pPr>
        <w:pStyle w:val="Standard"/>
        <w:jc w:val="both"/>
        <w:rPr>
          <w:rFonts w:ascii="Open Sans" w:hAnsi="Open Sans"/>
          <w:color w:val="000000"/>
          <w:sz w:val="21"/>
        </w:rPr>
      </w:pPr>
    </w:p>
    <w:p w14:paraId="54CEA79A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p w14:paraId="17009F15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p w14:paraId="0DE39DD5" w14:textId="77777777" w:rsidR="00022812" w:rsidRDefault="00A43CED">
      <w:pPr>
        <w:jc w:val="both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Izvještaj o danim zajmovima i </w:t>
      </w:r>
      <w:r>
        <w:rPr>
          <w:rFonts w:ascii="Cambria" w:hAnsi="Cambria"/>
          <w:b/>
          <w:bCs/>
          <w:color w:val="000000"/>
          <w:sz w:val="21"/>
          <w:szCs w:val="21"/>
        </w:rPr>
        <w:t>potraživanjima po danim zajmovima</w:t>
      </w:r>
    </w:p>
    <w:p w14:paraId="702AA681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p w14:paraId="2F42908F" w14:textId="77777777" w:rsidR="00022812" w:rsidRDefault="00A43CED">
      <w:pPr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Prva osnovna škola,  Ogulin nema danih zajmova kao ni potraživanja po danim zajmovima.</w:t>
      </w:r>
    </w:p>
    <w:p w14:paraId="27B094CB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p w14:paraId="3C48F73A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p w14:paraId="564150D9" w14:textId="77777777" w:rsidR="00022812" w:rsidRDefault="00A43CED">
      <w:pPr>
        <w:jc w:val="both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Izvještaj o stanju potraživanja i dospjelih obaveza te o stanju potencijalnih obveza po osnovi sudskih sporova</w:t>
      </w:r>
    </w:p>
    <w:p w14:paraId="22C77A70" w14:textId="77777777" w:rsidR="00022812" w:rsidRDefault="00A43CED">
      <w:pPr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bCs/>
          <w:color w:val="000000"/>
          <w:sz w:val="21"/>
          <w:szCs w:val="21"/>
        </w:rPr>
        <w:t>Prva osnovna škola, Ogulin nema potraživanja te dospjelih i nedospjelih obveza po osnovi sudskih sporova.</w:t>
      </w:r>
    </w:p>
    <w:p w14:paraId="59B0D9DA" w14:textId="77777777" w:rsidR="00022812" w:rsidRDefault="00022812">
      <w:pPr>
        <w:pStyle w:val="Textbody"/>
        <w:jc w:val="both"/>
        <w:rPr>
          <w:rFonts w:ascii="Univers" w:eastAsia="Times New Roman" w:hAnsi="Univers"/>
          <w:b/>
          <w:sz w:val="20"/>
          <w:szCs w:val="20"/>
          <w:lang w:val="pt-BR" w:eastAsia="hr-HR"/>
        </w:rPr>
      </w:pPr>
    </w:p>
    <w:p w14:paraId="70A25EC1" w14:textId="77777777" w:rsidR="00022812" w:rsidRDefault="00A43CED">
      <w:pPr>
        <w:pStyle w:val="Standard"/>
        <w:keepNext/>
        <w:jc w:val="center"/>
        <w:outlineLvl w:val="3"/>
        <w:rPr>
          <w:rFonts w:ascii="Cambria" w:eastAsia="Times New Roman" w:hAnsi="Cambria"/>
          <w:b/>
          <w:sz w:val="20"/>
          <w:szCs w:val="20"/>
          <w:lang w:val="pt-BR" w:eastAsia="hr-HR"/>
        </w:rPr>
      </w:pPr>
      <w:r>
        <w:rPr>
          <w:rFonts w:ascii="Cambria" w:eastAsia="Times New Roman" w:hAnsi="Cambria"/>
          <w:b/>
          <w:sz w:val="20"/>
          <w:szCs w:val="20"/>
          <w:lang w:val="pt-BR" w:eastAsia="hr-HR"/>
        </w:rPr>
        <w:t>O B V E Z E</w:t>
      </w:r>
    </w:p>
    <w:p w14:paraId="2019F4CC" w14:textId="77777777" w:rsidR="00022812" w:rsidRDefault="00022812">
      <w:pPr>
        <w:pStyle w:val="Standard"/>
        <w:jc w:val="center"/>
        <w:rPr>
          <w:rFonts w:ascii="Cambria" w:eastAsia="Times New Roman" w:hAnsi="Cambria"/>
          <w:b/>
          <w:color w:val="0000FF"/>
          <w:sz w:val="20"/>
          <w:szCs w:val="20"/>
          <w:lang w:val="pt-BR" w:eastAsia="hr-HR"/>
        </w:rPr>
      </w:pPr>
    </w:p>
    <w:p w14:paraId="1ED0F221" w14:textId="77777777" w:rsidR="00022812" w:rsidRDefault="00022812">
      <w:pPr>
        <w:pStyle w:val="Standard"/>
        <w:jc w:val="both"/>
        <w:rPr>
          <w:rFonts w:ascii="Cambria" w:eastAsia="Times New Roman" w:hAnsi="Cambria"/>
          <w:b/>
          <w:sz w:val="20"/>
          <w:szCs w:val="20"/>
          <w:lang w:val="pt-BR" w:eastAsia="hr-HR"/>
        </w:rPr>
      </w:pPr>
    </w:p>
    <w:tbl>
      <w:tblPr>
        <w:tblW w:w="935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3260"/>
      </w:tblGrid>
      <w:tr w:rsidR="00022812" w14:paraId="1E2F4981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5A26C" w14:textId="77777777" w:rsidR="00022812" w:rsidRDefault="00A43CED">
            <w:pPr>
              <w:pStyle w:val="Standard"/>
              <w:jc w:val="center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94D930" w14:textId="77777777" w:rsidR="00022812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proofErr w:type="spellStart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Ukupne</w:t>
            </w:r>
            <w:proofErr w:type="spellEnd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obveze</w:t>
            </w:r>
            <w:proofErr w:type="spellEnd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na</w:t>
            </w:r>
            <w:proofErr w:type="spellEnd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 xml:space="preserve"> dan</w:t>
            </w:r>
          </w:p>
          <w:p w14:paraId="2D5CB2A6" w14:textId="77777777" w:rsidR="00022812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31.12.23.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3E4439" w14:textId="77777777" w:rsidR="00022812" w:rsidRPr="00A43CED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</w:pPr>
            <w:r w:rsidRPr="00A43CED"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  <w:t>Ukupno dospjele obveze na dan</w:t>
            </w:r>
          </w:p>
          <w:p w14:paraId="67CC2834" w14:textId="77777777" w:rsidR="00022812" w:rsidRPr="00A43CED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</w:pPr>
            <w:r w:rsidRPr="00A43CED"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  <w:t>31.12.23.</w:t>
            </w:r>
          </w:p>
        </w:tc>
      </w:tr>
      <w:tr w:rsidR="00022812" w14:paraId="2DFA1E10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23A1F2" w14:textId="77777777" w:rsidR="00022812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r w:rsidRPr="00A43CED"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  <w:t xml:space="preserve"> </w:t>
            </w:r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OBVEZE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0890B6" w14:textId="77777777" w:rsidR="00022812" w:rsidRDefault="00022812">
            <w:pPr>
              <w:pStyle w:val="Standard"/>
              <w:jc w:val="right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4811D" w14:textId="77777777" w:rsidR="00022812" w:rsidRDefault="00022812">
            <w:pPr>
              <w:pStyle w:val="Standard"/>
              <w:jc w:val="right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</w:p>
        </w:tc>
      </w:tr>
    </w:tbl>
    <w:p w14:paraId="6F600E32" w14:textId="77777777" w:rsidR="00022812" w:rsidRDefault="00022812">
      <w:pPr>
        <w:pStyle w:val="Standard"/>
        <w:jc w:val="both"/>
        <w:rPr>
          <w:rFonts w:ascii="Cambria" w:eastAsia="Times New Roman" w:hAnsi="Cambria"/>
          <w:sz w:val="20"/>
          <w:szCs w:val="20"/>
          <w:lang w:val="en-AU" w:eastAsia="hr-HR"/>
        </w:rPr>
      </w:pPr>
    </w:p>
    <w:p w14:paraId="530D91D1" w14:textId="77777777" w:rsidR="00022812" w:rsidRDefault="00022812">
      <w:pPr>
        <w:pStyle w:val="Standard"/>
        <w:jc w:val="both"/>
        <w:rPr>
          <w:rFonts w:ascii="Univers" w:eastAsia="Times New Roman" w:hAnsi="Univers"/>
          <w:sz w:val="20"/>
          <w:szCs w:val="20"/>
          <w:lang w:val="en-AU" w:eastAsia="hr-HR"/>
        </w:rPr>
      </w:pPr>
    </w:p>
    <w:p w14:paraId="4A9FF04B" w14:textId="77777777" w:rsidR="00022812" w:rsidRDefault="00022812">
      <w:pPr>
        <w:pStyle w:val="Standard"/>
        <w:jc w:val="both"/>
        <w:rPr>
          <w:rFonts w:ascii="Univers" w:eastAsia="Times New Roman" w:hAnsi="Univers"/>
          <w:sz w:val="20"/>
          <w:szCs w:val="20"/>
          <w:lang w:val="en-AU" w:eastAsia="hr-HR"/>
        </w:rPr>
      </w:pPr>
    </w:p>
    <w:p w14:paraId="74D24044" w14:textId="77777777" w:rsidR="00022812" w:rsidRDefault="00A43CED">
      <w:pPr>
        <w:pStyle w:val="Standard"/>
        <w:keepNext/>
        <w:jc w:val="center"/>
        <w:outlineLvl w:val="4"/>
        <w:rPr>
          <w:rFonts w:ascii="Cambria" w:eastAsia="Times New Roman" w:hAnsi="Cambria"/>
          <w:b/>
          <w:sz w:val="18"/>
          <w:szCs w:val="18"/>
          <w:lang w:val="pt-BR" w:eastAsia="hr-HR"/>
        </w:rPr>
      </w:pPr>
      <w:r>
        <w:rPr>
          <w:rFonts w:ascii="Cambria" w:eastAsia="Times New Roman" w:hAnsi="Cambria"/>
          <w:b/>
          <w:sz w:val="18"/>
          <w:szCs w:val="18"/>
          <w:lang w:val="pt-BR" w:eastAsia="hr-HR"/>
        </w:rPr>
        <w:t>P O T R A Ž I V A N J A</w:t>
      </w:r>
    </w:p>
    <w:p w14:paraId="40F8546F" w14:textId="77777777" w:rsidR="00022812" w:rsidRPr="00A43CED" w:rsidRDefault="00022812">
      <w:pPr>
        <w:pStyle w:val="Standard"/>
        <w:keepNext/>
        <w:jc w:val="both"/>
        <w:outlineLvl w:val="1"/>
        <w:rPr>
          <w:rFonts w:ascii="Cambria" w:eastAsia="Times New Roman" w:hAnsi="Cambria"/>
          <w:b/>
          <w:color w:val="0000FF"/>
          <w:sz w:val="20"/>
          <w:szCs w:val="20"/>
          <w:lang w:val="pl-PL" w:eastAsia="hr-HR"/>
        </w:rPr>
      </w:pPr>
    </w:p>
    <w:p w14:paraId="11CBF72D" w14:textId="77777777" w:rsidR="00022812" w:rsidRPr="00A43CED" w:rsidRDefault="00022812">
      <w:pPr>
        <w:pStyle w:val="Standard"/>
        <w:jc w:val="both"/>
        <w:rPr>
          <w:rFonts w:ascii="Cambria" w:eastAsia="Times New Roman" w:hAnsi="Cambria"/>
          <w:b/>
          <w:sz w:val="18"/>
          <w:szCs w:val="20"/>
          <w:lang w:val="pl-PL" w:eastAsia="hr-HR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0"/>
        <w:gridCol w:w="1559"/>
        <w:gridCol w:w="3261"/>
      </w:tblGrid>
      <w:tr w:rsidR="00022812" w14:paraId="04F919D1" w14:textId="77777777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62C73" w14:textId="77777777" w:rsidR="00022812" w:rsidRDefault="00A43CED">
            <w:pPr>
              <w:pStyle w:val="Standard"/>
              <w:jc w:val="center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40CF9" w14:textId="77777777" w:rsidR="00022812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proofErr w:type="spellStart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potraživanja</w:t>
            </w:r>
            <w:proofErr w:type="spellEnd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na</w:t>
            </w:r>
            <w:proofErr w:type="spellEnd"/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 xml:space="preserve"> dan</w:t>
            </w:r>
          </w:p>
          <w:p w14:paraId="1E227417" w14:textId="77777777" w:rsidR="00022812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31.12.2023.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C62B6" w14:textId="77777777" w:rsidR="00022812" w:rsidRPr="00A43CED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</w:pPr>
            <w:r w:rsidRPr="00A43CED"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  <w:t>Ukupno dospjela potraživanja na dan</w:t>
            </w:r>
          </w:p>
          <w:p w14:paraId="7DF3971C" w14:textId="77777777" w:rsidR="00022812" w:rsidRPr="00A43CED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</w:pPr>
            <w:r w:rsidRPr="00A43CED">
              <w:rPr>
                <w:rFonts w:ascii="Cambria" w:eastAsia="Times New Roman" w:hAnsi="Cambria"/>
                <w:b/>
                <w:sz w:val="18"/>
                <w:szCs w:val="20"/>
                <w:lang w:val="pl-PL" w:eastAsia="hr-HR"/>
              </w:rPr>
              <w:t>31.12.2023.</w:t>
            </w:r>
          </w:p>
        </w:tc>
      </w:tr>
      <w:tr w:rsidR="00022812" w14:paraId="0FA1D19B" w14:textId="77777777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01827" w14:textId="77777777" w:rsidR="00022812" w:rsidRDefault="00A43CED">
            <w:pPr>
              <w:pStyle w:val="Standard"/>
              <w:jc w:val="both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  <w:r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  <w:t>POTRAŽIVANJA: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8B76F7" w14:textId="77777777" w:rsidR="00022812" w:rsidRDefault="00022812">
            <w:pPr>
              <w:pStyle w:val="Standard"/>
              <w:jc w:val="right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5FEA07" w14:textId="77777777" w:rsidR="00022812" w:rsidRDefault="00022812">
            <w:pPr>
              <w:pStyle w:val="Standard"/>
              <w:jc w:val="right"/>
              <w:rPr>
                <w:rFonts w:ascii="Cambria" w:eastAsia="Times New Roman" w:hAnsi="Cambria"/>
                <w:b/>
                <w:sz w:val="18"/>
                <w:szCs w:val="20"/>
                <w:lang w:val="en-AU" w:eastAsia="hr-HR"/>
              </w:rPr>
            </w:pPr>
          </w:p>
        </w:tc>
      </w:tr>
    </w:tbl>
    <w:p w14:paraId="4DF2F097" w14:textId="77777777" w:rsidR="00022812" w:rsidRDefault="00022812">
      <w:pPr>
        <w:pStyle w:val="Standard"/>
        <w:jc w:val="both"/>
        <w:rPr>
          <w:rFonts w:ascii="Cambria" w:eastAsia="Times New Roman" w:hAnsi="Cambria"/>
          <w:sz w:val="20"/>
          <w:szCs w:val="20"/>
          <w:lang w:val="en-AU" w:eastAsia="hr-HR"/>
        </w:rPr>
      </w:pPr>
    </w:p>
    <w:p w14:paraId="7C049D0E" w14:textId="77777777" w:rsidR="00022812" w:rsidRDefault="00022812">
      <w:pPr>
        <w:pStyle w:val="Standard"/>
        <w:jc w:val="both"/>
        <w:rPr>
          <w:rFonts w:ascii="Open Sans" w:hAnsi="Open Sans"/>
          <w:color w:val="000000"/>
          <w:sz w:val="21"/>
        </w:rPr>
      </w:pPr>
    </w:p>
    <w:p w14:paraId="580A17DF" w14:textId="77777777" w:rsidR="00022812" w:rsidRDefault="00022812">
      <w:pPr>
        <w:pStyle w:val="Textbody"/>
        <w:jc w:val="both"/>
        <w:rPr>
          <w:rFonts w:ascii="Open Sans" w:hAnsi="Open Sans"/>
          <w:color w:val="000000"/>
          <w:sz w:val="21"/>
        </w:rPr>
      </w:pPr>
    </w:p>
    <w:tbl>
      <w:tblPr>
        <w:tblW w:w="10172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200"/>
        <w:gridCol w:w="1359"/>
        <w:gridCol w:w="1281"/>
        <w:gridCol w:w="1336"/>
        <w:gridCol w:w="1013"/>
        <w:gridCol w:w="1056"/>
        <w:gridCol w:w="1095"/>
        <w:gridCol w:w="1141"/>
        <w:gridCol w:w="274"/>
      </w:tblGrid>
      <w:tr w:rsidR="00022812" w14:paraId="69B82AD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2B489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EVIDENCIJA POTENCIJALNIH OBVEZA PO SUDSKIM SPOROVIMA NA DAN 31.12.2023. GODINE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9C2D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</w:tr>
      <w:tr w:rsidR="00022812" w14:paraId="18D6532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122D2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1B785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A2C00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6EF2A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1FF25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5DCAC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F8F18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18481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51B36" w14:textId="77777777" w:rsidR="00022812" w:rsidRDefault="00A43CED">
            <w:pPr>
              <w:pStyle w:val="Standard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1B1FE" w14:textId="77777777" w:rsidR="00022812" w:rsidRDefault="00022812">
            <w:pPr>
              <w:pStyle w:val="Standard"/>
              <w:rPr>
                <w:rFonts w:hint="eastAsia"/>
              </w:rPr>
            </w:pPr>
          </w:p>
        </w:tc>
      </w:tr>
      <w:tr w:rsidR="00022812" w14:paraId="6DBCF951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34D6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R. br.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EEC0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Tužitelj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2313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Tuženik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7C3F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Sažeti opis prirode spora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6FC1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Iznos glavnice u </w:t>
            </w:r>
            <w:r>
              <w:rPr>
                <w:b/>
                <w:bCs/>
                <w:color w:val="000000"/>
                <w:sz w:val="16"/>
                <w:szCs w:val="16"/>
              </w:rPr>
              <w:t>kunama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0420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Nadležno tijelo pred kojim se vodi postupak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FE43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Procjena financijskog učinka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4AD9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Procijenjeno vrijeme odljeva ili priljeva sredstava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4000" w14:textId="77777777" w:rsidR="00022812" w:rsidRDefault="00A43CED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Godina početka spora</w:t>
            </w:r>
          </w:p>
        </w:tc>
      </w:tr>
      <w:tr w:rsidR="00022812" w14:paraId="3ABB5743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96E9" w14:textId="77777777" w:rsidR="00022812" w:rsidRDefault="00A43CED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0D23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BCCC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CA14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57BA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5B15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E64F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2896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CBB3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22812" w14:paraId="6AD41017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78E3" w14:textId="77777777" w:rsidR="00022812" w:rsidRDefault="00A43CED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643F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9F2D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5678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FA42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8672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C6C3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10B7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0936" w14:textId="77777777" w:rsidR="00022812" w:rsidRDefault="0002281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22812" w14:paraId="168E04F2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3A64" w14:textId="77777777" w:rsidR="00022812" w:rsidRDefault="00A43CED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E7DE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0BCF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EE12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1BB5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A932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D713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F41C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818D" w14:textId="77777777" w:rsidR="00022812" w:rsidRDefault="00022812">
            <w:pPr>
              <w:pStyle w:val="Standard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</w:tr>
    </w:tbl>
    <w:p w14:paraId="6160822B" w14:textId="77777777" w:rsidR="00022812" w:rsidRDefault="00022812">
      <w:pPr>
        <w:pStyle w:val="Standard"/>
        <w:jc w:val="both"/>
        <w:rPr>
          <w:rFonts w:ascii="Open Sans" w:hAnsi="Open Sans"/>
          <w:color w:val="000000"/>
          <w:sz w:val="21"/>
        </w:rPr>
      </w:pPr>
    </w:p>
    <w:p w14:paraId="4E6E85AF" w14:textId="77777777" w:rsidR="00022812" w:rsidRDefault="00A43CED">
      <w:pPr>
        <w:pStyle w:val="Textbody"/>
        <w:jc w:val="both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color w:val="000000"/>
          <w:sz w:val="21"/>
        </w:rPr>
        <w:t xml:space="preserve"> </w:t>
      </w:r>
    </w:p>
    <w:p w14:paraId="010B7128" w14:textId="77777777" w:rsidR="00022812" w:rsidRDefault="00A43CED">
      <w:pPr>
        <w:jc w:val="both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Izvještaj o danim jamstvima i plaćanjima po </w:t>
      </w:r>
      <w:r>
        <w:rPr>
          <w:rFonts w:ascii="Cambria" w:hAnsi="Cambria"/>
          <w:b/>
          <w:bCs/>
          <w:color w:val="000000"/>
          <w:sz w:val="21"/>
          <w:szCs w:val="21"/>
        </w:rPr>
        <w:t>protestiranim mjenicama</w:t>
      </w:r>
    </w:p>
    <w:p w14:paraId="2F00B232" w14:textId="77777777" w:rsidR="00022812" w:rsidRDefault="00022812">
      <w:pPr>
        <w:pStyle w:val="Textbody"/>
        <w:jc w:val="both"/>
        <w:rPr>
          <w:rFonts w:ascii="Open Sans" w:hAnsi="Open Sans"/>
          <w:b/>
          <w:bCs/>
          <w:color w:val="000000"/>
          <w:sz w:val="21"/>
        </w:rPr>
      </w:pPr>
    </w:p>
    <w:p w14:paraId="48C0F784" w14:textId="77777777" w:rsidR="00022812" w:rsidRDefault="00A43CED">
      <w:pPr>
        <w:pStyle w:val="Textbody"/>
        <w:jc w:val="both"/>
        <w:rPr>
          <w:rFonts w:ascii="Cambria" w:hAnsi="Cambria"/>
          <w:color w:val="000000"/>
          <w:sz w:val="21"/>
        </w:rPr>
      </w:pPr>
      <w:r>
        <w:rPr>
          <w:rFonts w:ascii="Cambria" w:hAnsi="Cambria"/>
          <w:color w:val="000000"/>
          <w:sz w:val="21"/>
        </w:rPr>
        <w:t>Prva osnovna škola, Ogulin nema danih jamstava, kao ni plaćanja po protestiranim mjenicama.</w:t>
      </w:r>
    </w:p>
    <w:p w14:paraId="2DE44FA5" w14:textId="77777777" w:rsidR="00022812" w:rsidRDefault="00022812">
      <w:pPr>
        <w:pStyle w:val="Textbody"/>
        <w:jc w:val="both"/>
        <w:rPr>
          <w:rFonts w:ascii="Cambria" w:hAnsi="Cambria"/>
          <w:color w:val="000000"/>
          <w:sz w:val="21"/>
        </w:rPr>
      </w:pPr>
    </w:p>
    <w:p w14:paraId="2AD03014" w14:textId="77777777" w:rsidR="00022812" w:rsidRDefault="00022812">
      <w:pPr>
        <w:pStyle w:val="Textbody"/>
        <w:jc w:val="both"/>
        <w:rPr>
          <w:rFonts w:ascii="Cambria" w:hAnsi="Cambria"/>
          <w:color w:val="000000"/>
          <w:sz w:val="21"/>
        </w:rPr>
      </w:pPr>
    </w:p>
    <w:p w14:paraId="0FD13F84" w14:textId="77777777" w:rsidR="00022812" w:rsidRDefault="00022812">
      <w:pPr>
        <w:pStyle w:val="Textbody"/>
        <w:jc w:val="both"/>
        <w:rPr>
          <w:rFonts w:ascii="Cambria" w:hAnsi="Cambria"/>
          <w:color w:val="000000"/>
          <w:sz w:val="21"/>
        </w:rPr>
      </w:pPr>
    </w:p>
    <w:p w14:paraId="697E7308" w14:textId="77777777" w:rsidR="00022812" w:rsidRDefault="00A43CED">
      <w:pPr>
        <w:pStyle w:val="Textbody"/>
        <w:jc w:val="right"/>
        <w:rPr>
          <w:rFonts w:ascii="Cambria" w:hAnsi="Cambria"/>
          <w:color w:val="000000"/>
          <w:sz w:val="21"/>
        </w:rPr>
      </w:pPr>
      <w:r>
        <w:rPr>
          <w:rFonts w:ascii="Cambria" w:hAnsi="Cambria"/>
          <w:color w:val="000000"/>
          <w:sz w:val="21"/>
        </w:rPr>
        <w:t>Ravnatelj:</w:t>
      </w:r>
    </w:p>
    <w:p w14:paraId="330FF012" w14:textId="77777777" w:rsidR="00022812" w:rsidRDefault="00A43CED">
      <w:pPr>
        <w:pStyle w:val="Textbody"/>
        <w:jc w:val="right"/>
        <w:rPr>
          <w:rFonts w:ascii="Cambria" w:hAnsi="Cambria"/>
          <w:color w:val="000000"/>
          <w:sz w:val="21"/>
        </w:rPr>
      </w:pPr>
      <w:r>
        <w:rPr>
          <w:rFonts w:ascii="Cambria" w:hAnsi="Cambria"/>
          <w:color w:val="000000"/>
          <w:sz w:val="21"/>
        </w:rPr>
        <w:t>Zvonko Ranogajec, prof.</w:t>
      </w:r>
    </w:p>
    <w:p w14:paraId="0579A72D" w14:textId="77777777" w:rsidR="00022812" w:rsidRDefault="00022812">
      <w:pPr>
        <w:pStyle w:val="Textbody"/>
        <w:jc w:val="both"/>
        <w:rPr>
          <w:rFonts w:ascii="Cambria" w:hAnsi="Cambria"/>
          <w:color w:val="000000"/>
          <w:sz w:val="21"/>
        </w:rPr>
      </w:pPr>
    </w:p>
    <w:sectPr w:rsidR="000228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D202" w14:textId="77777777" w:rsidR="00A43CED" w:rsidRDefault="00A43CED">
      <w:pPr>
        <w:rPr>
          <w:rFonts w:hint="eastAsia"/>
        </w:rPr>
      </w:pPr>
      <w:r>
        <w:separator/>
      </w:r>
    </w:p>
  </w:endnote>
  <w:endnote w:type="continuationSeparator" w:id="0">
    <w:p w14:paraId="6498CC62" w14:textId="77777777" w:rsidR="00A43CED" w:rsidRDefault="00A43C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02FB" w14:textId="77777777" w:rsidR="00A43CED" w:rsidRDefault="00A43C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540B77" w14:textId="77777777" w:rsidR="00A43CED" w:rsidRDefault="00A43C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2812"/>
    <w:rsid w:val="00022812"/>
    <w:rsid w:val="00A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3ED9"/>
  <w15:docId w15:val="{B3B6292C-93B2-4831-9860-2A79004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3">
    <w:name w:val="heading 3"/>
    <w:basedOn w:val="Heading"/>
    <w:next w:val="Textbody"/>
    <w:uiPriority w:val="9"/>
    <w:unhideWhenUsed/>
    <w:qFormat/>
    <w:pPr>
      <w:spacing w:before="140" w:after="0"/>
      <w:outlineLvl w:val="2"/>
    </w:pPr>
    <w:rPr>
      <w:rFonts w:ascii="Liberation Serif" w:eastAsia="NSimSun" w:hAnsi="Liberation Serif" w:cs="Liberation Serif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Ivana Magdic</cp:lastModifiedBy>
  <cp:revision>2</cp:revision>
  <dcterms:created xsi:type="dcterms:W3CDTF">2024-04-02T14:10:00Z</dcterms:created>
  <dcterms:modified xsi:type="dcterms:W3CDTF">2024-04-02T14:10:00Z</dcterms:modified>
</cp:coreProperties>
</file>