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OŠ "SILVIJE STRAHIMIR KRANJČEVIĆ"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LEVANJSKA VAROŠ,GLAVNA 62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RKP:</w:t>
      </w:r>
      <w:r w:rsidRPr="004642FE">
        <w:rPr>
          <w:rFonts w:ascii="Times New Roman" w:hAnsi="Times New Roman" w:cs="Times New Roman"/>
        </w:rPr>
        <w:tab/>
        <w:t>9128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OIB:</w:t>
      </w:r>
      <w:r w:rsidRPr="004642FE">
        <w:rPr>
          <w:rFonts w:ascii="Times New Roman" w:hAnsi="Times New Roman" w:cs="Times New Roman"/>
        </w:rPr>
        <w:tab/>
        <w:t>84240970996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ŠIFRA DJELATNOSTI: 8520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IBAN:</w:t>
      </w:r>
      <w:r w:rsidRPr="004642FE">
        <w:rPr>
          <w:rFonts w:ascii="Times New Roman" w:hAnsi="Times New Roman" w:cs="Times New Roman"/>
        </w:rPr>
        <w:tab/>
        <w:t>HR8025000091102045981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RAZINA: 31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ŠIFRA ŽUPANIJE: 14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ŠIFRA GRADA/OPĆINE: 230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jc w:val="center"/>
        <w:rPr>
          <w:rFonts w:ascii="Times New Roman" w:hAnsi="Times New Roman" w:cs="Times New Roman"/>
          <w:b/>
        </w:rPr>
      </w:pPr>
      <w:r w:rsidRPr="004642FE">
        <w:rPr>
          <w:rFonts w:ascii="Times New Roman" w:hAnsi="Times New Roman" w:cs="Times New Roman"/>
          <w:b/>
        </w:rPr>
        <w:t>BILJEŠKE UZ FINANCIJSKA IZVJEŠĆA</w:t>
      </w:r>
    </w:p>
    <w:p w:rsidR="004642FE" w:rsidRPr="004642FE" w:rsidRDefault="004642FE" w:rsidP="004642FE">
      <w:pPr>
        <w:jc w:val="center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  <w:b/>
        </w:rPr>
        <w:t>ZA RAZDOBLJE OD 01.01.2022. DO 31.12.2022. GODINE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line="20" w:lineRule="atLeast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Osnovna škola "S.S.Kranjčević", </w:t>
      </w:r>
      <w:proofErr w:type="spellStart"/>
      <w:r w:rsidRPr="004642FE">
        <w:rPr>
          <w:rFonts w:ascii="Times New Roman" w:hAnsi="Times New Roman" w:cs="Times New Roman"/>
        </w:rPr>
        <w:t>Levanjska</w:t>
      </w:r>
      <w:proofErr w:type="spellEnd"/>
      <w:r w:rsidRPr="004642FE">
        <w:rPr>
          <w:rFonts w:ascii="Times New Roman" w:hAnsi="Times New Roman" w:cs="Times New Roman"/>
        </w:rPr>
        <w:t xml:space="preserve"> Varoš posluje u skladu sa Zakonom o odgoju</w:t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i obrazovanju u osnovnim i srednjim školama i Statutom škole. Vodi proračunsko računovodstvo</w:t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temeljem Pravilnika o proračunskom računovodstvu i Računskom planu, a financijske izvještaje</w:t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sastavlja  i predaje u skladu s odredbama pravilnika o financijskom izvještavanju</w:t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u proračunskom računovodstvu (</w:t>
      </w:r>
      <w:proofErr w:type="spellStart"/>
      <w:r w:rsidRPr="004642FE">
        <w:rPr>
          <w:rFonts w:ascii="Times New Roman" w:hAnsi="Times New Roman" w:cs="Times New Roman"/>
        </w:rPr>
        <w:t>Nar.nov</w:t>
      </w:r>
      <w:proofErr w:type="spellEnd"/>
      <w:r w:rsidRPr="004642FE">
        <w:rPr>
          <w:rFonts w:ascii="Times New Roman" w:hAnsi="Times New Roman" w:cs="Times New Roman"/>
        </w:rPr>
        <w:t>., br. 3/15., 93/15., 135/15., 2/2017., 28/2017.,</w:t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112/2018., 126/2019.) i Zakona o proračunu (</w:t>
      </w:r>
      <w:proofErr w:type="spellStart"/>
      <w:r w:rsidRPr="004642FE">
        <w:rPr>
          <w:rFonts w:ascii="Times New Roman" w:hAnsi="Times New Roman" w:cs="Times New Roman"/>
        </w:rPr>
        <w:t>Nar.nov</w:t>
      </w:r>
      <w:proofErr w:type="spellEnd"/>
      <w:r w:rsidRPr="004642FE">
        <w:rPr>
          <w:rFonts w:ascii="Times New Roman" w:hAnsi="Times New Roman" w:cs="Times New Roman"/>
        </w:rPr>
        <w:t>., 87/2008., 136/2012., 15/2015.).</w:t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Prema čl.12.  Pravilnika, bilješke predstavljaju dopunu podataka uz </w:t>
      </w:r>
      <w:proofErr w:type="spellStart"/>
      <w:r w:rsidRPr="004642FE">
        <w:rPr>
          <w:rFonts w:ascii="Times New Roman" w:hAnsi="Times New Roman" w:cs="Times New Roman"/>
        </w:rPr>
        <w:t>uz</w:t>
      </w:r>
      <w:proofErr w:type="spellEnd"/>
      <w:r w:rsidRPr="004642FE">
        <w:rPr>
          <w:rFonts w:ascii="Times New Roman" w:hAnsi="Times New Roman" w:cs="Times New Roman"/>
        </w:rPr>
        <w:t xml:space="preserve"> financijske</w:t>
      </w:r>
    </w:p>
    <w:p w:rsidR="004642FE" w:rsidRPr="004642FE" w:rsidRDefault="004642FE" w:rsidP="004642FE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izvještaje.</w:t>
      </w:r>
    </w:p>
    <w:p w:rsidR="004642FE" w:rsidRPr="004642FE" w:rsidRDefault="004642FE" w:rsidP="004642FE">
      <w:pPr>
        <w:spacing w:line="20" w:lineRule="atLeast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spacing w:line="20" w:lineRule="atLeast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  <w:b/>
        </w:rPr>
        <w:t>PR-RAS:</w:t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  <w:b/>
        </w:rPr>
      </w:pP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  <w:r w:rsidRPr="004642FE">
        <w:rPr>
          <w:rFonts w:ascii="Times New Roman" w:hAnsi="Times New Roman" w:cs="Times New Roman"/>
          <w:b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  <w:u w:val="single"/>
        </w:rPr>
      </w:pPr>
      <w:r w:rsidRPr="004642FE">
        <w:rPr>
          <w:rFonts w:ascii="Times New Roman" w:hAnsi="Times New Roman" w:cs="Times New Roman"/>
          <w:b/>
          <w:u w:val="single"/>
        </w:rPr>
        <w:t>UKUPNI PRIHODI</w:t>
      </w:r>
      <w:r w:rsidRPr="004642FE">
        <w:rPr>
          <w:rFonts w:ascii="Times New Roman" w:hAnsi="Times New Roman" w:cs="Times New Roman"/>
          <w:b/>
          <w:u w:val="single"/>
        </w:rPr>
        <w:tab/>
      </w:r>
      <w:r w:rsidRPr="004642FE">
        <w:rPr>
          <w:rFonts w:ascii="Times New Roman" w:hAnsi="Times New Roman" w:cs="Times New Roman"/>
          <w:u w:val="single"/>
        </w:rPr>
        <w:tab/>
      </w:r>
      <w:r w:rsidRPr="004642FE">
        <w:rPr>
          <w:rFonts w:ascii="Times New Roman" w:hAnsi="Times New Roman" w:cs="Times New Roman"/>
          <w:u w:val="single"/>
        </w:rPr>
        <w:tab/>
      </w:r>
      <w:r w:rsidRPr="004642FE">
        <w:rPr>
          <w:rFonts w:ascii="Times New Roman" w:hAnsi="Times New Roman" w:cs="Times New Roman"/>
          <w:u w:val="single"/>
        </w:rPr>
        <w:tab/>
      </w:r>
      <w:r w:rsidRPr="004642FE">
        <w:rPr>
          <w:rFonts w:ascii="Times New Roman" w:hAnsi="Times New Roman" w:cs="Times New Roman"/>
          <w:u w:val="single"/>
        </w:rPr>
        <w:tab/>
      </w:r>
      <w:r w:rsidRPr="004642FE">
        <w:rPr>
          <w:rFonts w:ascii="Times New Roman" w:hAnsi="Times New Roman" w:cs="Times New Roman"/>
          <w:u w:val="single"/>
        </w:rPr>
        <w:tab/>
      </w:r>
      <w:r w:rsidRPr="004642FE">
        <w:rPr>
          <w:rFonts w:ascii="Times New Roman" w:hAnsi="Times New Roman" w:cs="Times New Roman"/>
          <w:b/>
          <w:u w:val="single"/>
        </w:rPr>
        <w:t xml:space="preserve">                   </w:t>
      </w:r>
      <w:r w:rsidRPr="004642FE">
        <w:rPr>
          <w:rFonts w:ascii="Times New Roman" w:hAnsi="Times New Roman" w:cs="Times New Roman"/>
          <w:b/>
          <w:u w:val="single"/>
        </w:rPr>
        <w:t xml:space="preserve"> 4.155.983,21 kn</w:t>
      </w:r>
      <w:r w:rsidRPr="004642FE">
        <w:rPr>
          <w:rFonts w:ascii="Times New Roman" w:hAnsi="Times New Roman" w:cs="Times New Roman"/>
          <w:u w:val="single"/>
        </w:rPr>
        <w:t xml:space="preserve">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Prihodi od MZO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4642FE">
        <w:rPr>
          <w:rFonts w:ascii="Times New Roman" w:hAnsi="Times New Roman" w:cs="Times New Roman"/>
        </w:rPr>
        <w:t xml:space="preserve">3.670.251,17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Prihodi od OBŽ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  <w:r w:rsidRPr="004642FE">
        <w:rPr>
          <w:rFonts w:ascii="Times New Roman" w:hAnsi="Times New Roman" w:cs="Times New Roman"/>
        </w:rPr>
        <w:t xml:space="preserve">482.002,52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Ostali prihodi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4642FE">
        <w:rPr>
          <w:rFonts w:ascii="Times New Roman" w:hAnsi="Times New Roman" w:cs="Times New Roman"/>
        </w:rPr>
        <w:t xml:space="preserve">3.729,52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Prihodi od prodaje usluga, roba i donacija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4642FE">
        <w:rPr>
          <w:rFonts w:ascii="Times New Roman" w:hAnsi="Times New Roman" w:cs="Times New Roman"/>
        </w:rPr>
        <w:t xml:space="preserve"> -  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  <w:b/>
          <w:u w:val="single"/>
        </w:rPr>
      </w:pPr>
      <w:r w:rsidRPr="004642FE">
        <w:rPr>
          <w:rFonts w:ascii="Times New Roman" w:hAnsi="Times New Roman" w:cs="Times New Roman"/>
          <w:b/>
          <w:u w:val="single"/>
        </w:rPr>
        <w:t>UKUPNI IZDACI</w:t>
      </w:r>
      <w:r w:rsidRPr="004642FE">
        <w:rPr>
          <w:rFonts w:ascii="Times New Roman" w:hAnsi="Times New Roman" w:cs="Times New Roman"/>
          <w:b/>
          <w:u w:val="single"/>
        </w:rPr>
        <w:tab/>
      </w:r>
      <w:r w:rsidRPr="004642FE">
        <w:rPr>
          <w:rFonts w:ascii="Times New Roman" w:hAnsi="Times New Roman" w:cs="Times New Roman"/>
          <w:b/>
          <w:u w:val="single"/>
        </w:rPr>
        <w:tab/>
      </w:r>
      <w:r w:rsidRPr="004642FE">
        <w:rPr>
          <w:rFonts w:ascii="Times New Roman" w:hAnsi="Times New Roman" w:cs="Times New Roman"/>
          <w:b/>
          <w:u w:val="single"/>
        </w:rPr>
        <w:tab/>
      </w:r>
      <w:r w:rsidRPr="004642FE">
        <w:rPr>
          <w:rFonts w:ascii="Times New Roman" w:hAnsi="Times New Roman" w:cs="Times New Roman"/>
          <w:b/>
          <w:u w:val="single"/>
        </w:rPr>
        <w:tab/>
      </w:r>
      <w:r w:rsidRPr="004642FE">
        <w:rPr>
          <w:rFonts w:ascii="Times New Roman" w:hAnsi="Times New Roman" w:cs="Times New Roman"/>
          <w:b/>
          <w:u w:val="single"/>
        </w:rPr>
        <w:tab/>
      </w:r>
      <w:r w:rsidRPr="004642FE">
        <w:rPr>
          <w:rFonts w:ascii="Times New Roman" w:hAnsi="Times New Roman" w:cs="Times New Roman"/>
          <w:b/>
          <w:u w:val="single"/>
        </w:rPr>
        <w:tab/>
      </w:r>
      <w:r w:rsidRPr="004642FE">
        <w:rPr>
          <w:rFonts w:ascii="Times New Roman" w:hAnsi="Times New Roman" w:cs="Times New Roman"/>
          <w:b/>
          <w:u w:val="single"/>
        </w:rPr>
        <w:tab/>
        <w:t xml:space="preserve">     </w:t>
      </w:r>
      <w:r w:rsidRPr="004642FE">
        <w:rPr>
          <w:rFonts w:ascii="Times New Roman" w:hAnsi="Times New Roman" w:cs="Times New Roman"/>
          <w:b/>
          <w:u w:val="single"/>
        </w:rPr>
        <w:t xml:space="preserve"> 4.063.810,60 kn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Rashodi za zaposlene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4642FE">
        <w:rPr>
          <w:rFonts w:ascii="Times New Roman" w:hAnsi="Times New Roman" w:cs="Times New Roman"/>
        </w:rPr>
        <w:t xml:space="preserve"> 3.129.693,52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Materijalni i nefinancijski rashodi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4642FE">
        <w:rPr>
          <w:rFonts w:ascii="Times New Roman" w:hAnsi="Times New Roman" w:cs="Times New Roman"/>
        </w:rPr>
        <w:t xml:space="preserve"> 913.026,75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lastRenderedPageBreak/>
        <w:t>Financijski rashodi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</w:t>
      </w:r>
      <w:r w:rsidRPr="004642FE">
        <w:rPr>
          <w:rFonts w:ascii="Times New Roman" w:hAnsi="Times New Roman" w:cs="Times New Roman"/>
        </w:rPr>
        <w:t xml:space="preserve">7.167,81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Pomoći dane u </w:t>
      </w:r>
      <w:proofErr w:type="spellStart"/>
      <w:r w:rsidRPr="004642FE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oz</w:t>
      </w:r>
      <w:proofErr w:type="spellEnd"/>
      <w:r>
        <w:rPr>
          <w:rFonts w:ascii="Times New Roman" w:hAnsi="Times New Roman" w:cs="Times New Roman"/>
        </w:rPr>
        <w:t>. unutar općeg proračuna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4642FE">
        <w:rPr>
          <w:rFonts w:ascii="Times New Roman" w:hAnsi="Times New Roman" w:cs="Times New Roman"/>
        </w:rPr>
        <w:t xml:space="preserve">13.922,52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962894" w:rsidRPr="00962894" w:rsidRDefault="004642FE" w:rsidP="004642FE">
      <w:pPr>
        <w:rPr>
          <w:rFonts w:ascii="Times New Roman" w:hAnsi="Times New Roman" w:cs="Times New Roman"/>
          <w:b/>
          <w:u w:val="single"/>
        </w:rPr>
      </w:pPr>
      <w:r w:rsidRPr="00962894">
        <w:rPr>
          <w:rFonts w:ascii="Times New Roman" w:hAnsi="Times New Roman" w:cs="Times New Roman"/>
          <w:b/>
          <w:u w:val="single"/>
        </w:rPr>
        <w:t>RAZLIKA PRIHOD</w:t>
      </w:r>
      <w:r w:rsidR="00962894" w:rsidRPr="00962894">
        <w:rPr>
          <w:rFonts w:ascii="Times New Roman" w:hAnsi="Times New Roman" w:cs="Times New Roman"/>
          <w:b/>
          <w:u w:val="single"/>
        </w:rPr>
        <w:t>A I RASHODA</w:t>
      </w:r>
      <w:r w:rsidR="00962894" w:rsidRPr="00962894">
        <w:rPr>
          <w:rFonts w:ascii="Times New Roman" w:hAnsi="Times New Roman" w:cs="Times New Roman"/>
          <w:b/>
          <w:u w:val="single"/>
        </w:rPr>
        <w:tab/>
      </w:r>
      <w:r w:rsidR="00962894" w:rsidRPr="00962894">
        <w:rPr>
          <w:rFonts w:ascii="Times New Roman" w:hAnsi="Times New Roman" w:cs="Times New Roman"/>
          <w:b/>
          <w:u w:val="single"/>
        </w:rPr>
        <w:tab/>
      </w:r>
      <w:r w:rsidR="00962894" w:rsidRPr="00962894">
        <w:rPr>
          <w:rFonts w:ascii="Times New Roman" w:hAnsi="Times New Roman" w:cs="Times New Roman"/>
          <w:b/>
          <w:u w:val="single"/>
        </w:rPr>
        <w:tab/>
      </w:r>
      <w:r w:rsidR="00962894" w:rsidRPr="00962894">
        <w:rPr>
          <w:rFonts w:ascii="Times New Roman" w:hAnsi="Times New Roman" w:cs="Times New Roman"/>
          <w:b/>
          <w:u w:val="single"/>
        </w:rPr>
        <w:tab/>
      </w:r>
      <w:r w:rsidR="00962894" w:rsidRPr="00962894">
        <w:rPr>
          <w:rFonts w:ascii="Times New Roman" w:hAnsi="Times New Roman" w:cs="Times New Roman"/>
          <w:b/>
          <w:u w:val="single"/>
        </w:rPr>
        <w:tab/>
      </w:r>
      <w:r w:rsidR="00962894" w:rsidRPr="00962894">
        <w:rPr>
          <w:rFonts w:ascii="Times New Roman" w:hAnsi="Times New Roman" w:cs="Times New Roman"/>
          <w:b/>
          <w:u w:val="single"/>
        </w:rPr>
        <w:tab/>
        <w:t xml:space="preserve"> 92.172,61 kn </w:t>
      </w:r>
    </w:p>
    <w:p w:rsidR="004642FE" w:rsidRPr="00962894" w:rsidRDefault="004642FE" w:rsidP="004642FE">
      <w:pPr>
        <w:rPr>
          <w:rFonts w:ascii="Times New Roman" w:hAnsi="Times New Roman" w:cs="Times New Roman"/>
          <w:u w:val="single"/>
        </w:rPr>
      </w:pPr>
      <w:r w:rsidRPr="00962894">
        <w:rPr>
          <w:rFonts w:ascii="Times New Roman" w:hAnsi="Times New Roman" w:cs="Times New Roman"/>
          <w:u w:val="single"/>
        </w:rPr>
        <w:t>VIŠAK  PRIJAŠNJIH RAZDOBLJA</w:t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  <w:t xml:space="preserve"> 55.829,94 kn </w:t>
      </w:r>
    </w:p>
    <w:p w:rsidR="004642FE" w:rsidRPr="00962894" w:rsidRDefault="004642FE" w:rsidP="004642FE">
      <w:pPr>
        <w:rPr>
          <w:rFonts w:ascii="Times New Roman" w:hAnsi="Times New Roman" w:cs="Times New Roman"/>
          <w:u w:val="single"/>
        </w:rPr>
      </w:pPr>
      <w:r w:rsidRPr="00962894">
        <w:rPr>
          <w:rFonts w:ascii="Times New Roman" w:hAnsi="Times New Roman" w:cs="Times New Roman"/>
          <w:u w:val="single"/>
        </w:rPr>
        <w:t>VIŠAK POSLOVANJA</w:t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Pr="00962894">
        <w:rPr>
          <w:rFonts w:ascii="Times New Roman" w:hAnsi="Times New Roman" w:cs="Times New Roman"/>
          <w:u w:val="single"/>
        </w:rPr>
        <w:tab/>
      </w:r>
      <w:r w:rsidR="00962894" w:rsidRPr="00962894">
        <w:rPr>
          <w:rFonts w:ascii="Times New Roman" w:hAnsi="Times New Roman" w:cs="Times New Roman"/>
          <w:u w:val="single"/>
        </w:rPr>
        <w:t xml:space="preserve">           </w:t>
      </w:r>
      <w:r w:rsidRPr="00962894">
        <w:rPr>
          <w:rFonts w:ascii="Times New Roman" w:hAnsi="Times New Roman" w:cs="Times New Roman"/>
          <w:u w:val="single"/>
        </w:rPr>
        <w:t xml:space="preserve"> 148.002,55 kn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  <w:b/>
        </w:rPr>
      </w:pPr>
      <w:r w:rsidRPr="00962894">
        <w:rPr>
          <w:rFonts w:ascii="Times New Roman" w:hAnsi="Times New Roman" w:cs="Times New Roman"/>
          <w:b/>
        </w:rPr>
        <w:t>BILANCA</w:t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  <w:b/>
          <w:u w:val="single"/>
        </w:rPr>
      </w:pPr>
      <w:r w:rsidRPr="00962894">
        <w:rPr>
          <w:rFonts w:ascii="Times New Roman" w:hAnsi="Times New Roman" w:cs="Times New Roman"/>
          <w:b/>
          <w:u w:val="single"/>
        </w:rPr>
        <w:t xml:space="preserve">Kratkoročne </w:t>
      </w:r>
      <w:r w:rsidR="00962894" w:rsidRPr="00962894">
        <w:rPr>
          <w:rFonts w:ascii="Times New Roman" w:hAnsi="Times New Roman" w:cs="Times New Roman"/>
          <w:b/>
          <w:u w:val="single"/>
        </w:rPr>
        <w:t>obveze na dan 31.12.202</w:t>
      </w:r>
      <w:r w:rsidR="00962894">
        <w:rPr>
          <w:rFonts w:ascii="Times New Roman" w:hAnsi="Times New Roman" w:cs="Times New Roman"/>
          <w:b/>
          <w:u w:val="single"/>
        </w:rPr>
        <w:t>2.</w:t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 xml:space="preserve">357.249,74 kn </w:t>
      </w:r>
    </w:p>
    <w:p w:rsidR="004642FE" w:rsidRPr="004642FE" w:rsidRDefault="00962894" w:rsidP="0046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 </w:t>
      </w:r>
      <w:r w:rsidR="004642FE" w:rsidRPr="004642FE">
        <w:rPr>
          <w:rFonts w:ascii="Times New Roman" w:hAnsi="Times New Roman" w:cs="Times New Roman"/>
        </w:rPr>
        <w:t xml:space="preserve">za nabavu </w:t>
      </w:r>
      <w:r w:rsidRPr="004642FE">
        <w:rPr>
          <w:rFonts w:ascii="Times New Roman" w:hAnsi="Times New Roman" w:cs="Times New Roman"/>
        </w:rPr>
        <w:t>nefinan</w:t>
      </w:r>
      <w:r>
        <w:rPr>
          <w:rFonts w:ascii="Times New Roman" w:hAnsi="Times New Roman" w:cs="Times New Roman"/>
        </w:rPr>
        <w:t xml:space="preserve">cijske </w:t>
      </w:r>
      <w:r w:rsidR="004642FE" w:rsidRPr="004642FE">
        <w:rPr>
          <w:rFonts w:ascii="Times New Roman" w:hAnsi="Times New Roman" w:cs="Times New Roman"/>
        </w:rPr>
        <w:t>.imovine</w:t>
      </w:r>
      <w:r w:rsidR="004642FE" w:rsidRPr="004642FE">
        <w:rPr>
          <w:rFonts w:ascii="Times New Roman" w:hAnsi="Times New Roman" w:cs="Times New Roman"/>
        </w:rPr>
        <w:tab/>
      </w:r>
      <w:r w:rsidR="004642FE" w:rsidRPr="004642FE">
        <w:rPr>
          <w:rFonts w:ascii="Times New Roman" w:hAnsi="Times New Roman" w:cs="Times New Roman"/>
        </w:rPr>
        <w:tab/>
      </w:r>
      <w:r w:rsidR="004642FE" w:rsidRPr="004642FE">
        <w:rPr>
          <w:rFonts w:ascii="Times New Roman" w:hAnsi="Times New Roman" w:cs="Times New Roman"/>
        </w:rPr>
        <w:tab/>
      </w:r>
      <w:r w:rsidR="004642FE" w:rsidRPr="004642F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4642FE" w:rsidRPr="004642FE">
        <w:rPr>
          <w:rFonts w:ascii="Times New Roman" w:hAnsi="Times New Roman" w:cs="Times New Roman"/>
        </w:rPr>
        <w:t xml:space="preserve">41.355,93 kn </w:t>
      </w:r>
      <w:r w:rsidR="004642FE" w:rsidRPr="004642FE">
        <w:rPr>
          <w:rFonts w:ascii="Times New Roman" w:hAnsi="Times New Roman" w:cs="Times New Roman"/>
        </w:rPr>
        <w:tab/>
      </w:r>
    </w:p>
    <w:p w:rsidR="004642FE" w:rsidRPr="00962894" w:rsidRDefault="004642FE" w:rsidP="009628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962894">
        <w:rPr>
          <w:rFonts w:ascii="Times New Roman" w:hAnsi="Times New Roman" w:cs="Times New Roman"/>
        </w:rPr>
        <w:t xml:space="preserve">za materijalne rashode </w:t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</w:r>
      <w:r w:rsid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 xml:space="preserve"> 41.613,23 kn </w:t>
      </w:r>
      <w:r w:rsidRPr="00962894">
        <w:rPr>
          <w:rFonts w:ascii="Times New Roman" w:hAnsi="Times New Roman" w:cs="Times New Roman"/>
        </w:rPr>
        <w:tab/>
      </w:r>
    </w:p>
    <w:p w:rsidR="004642FE" w:rsidRPr="00962894" w:rsidRDefault="004642FE" w:rsidP="009628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962894">
        <w:rPr>
          <w:rFonts w:ascii="Times New Roman" w:hAnsi="Times New Roman" w:cs="Times New Roman"/>
        </w:rPr>
        <w:t>za zaposlene</w:t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</w:r>
      <w:r w:rsidRPr="00962894">
        <w:rPr>
          <w:rFonts w:ascii="Times New Roman" w:hAnsi="Times New Roman" w:cs="Times New Roman"/>
        </w:rPr>
        <w:tab/>
        <w:t xml:space="preserve"> </w:t>
      </w:r>
      <w:r w:rsidR="00962894">
        <w:rPr>
          <w:rFonts w:ascii="Times New Roman" w:hAnsi="Times New Roman" w:cs="Times New Roman"/>
        </w:rPr>
        <w:tab/>
      </w:r>
      <w:r w:rsidR="00962894">
        <w:rPr>
          <w:rFonts w:ascii="Times New Roman" w:hAnsi="Times New Roman" w:cs="Times New Roman"/>
        </w:rPr>
        <w:tab/>
        <w:t xml:space="preserve">            </w:t>
      </w:r>
      <w:r w:rsidRPr="00962894">
        <w:rPr>
          <w:rFonts w:ascii="Times New Roman" w:hAnsi="Times New Roman" w:cs="Times New Roman"/>
        </w:rPr>
        <w:t xml:space="preserve">274.280,59 kn </w:t>
      </w:r>
      <w:r w:rsidRPr="00962894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  <w:b/>
          <w:u w:val="single"/>
        </w:rPr>
      </w:pPr>
      <w:r w:rsidRPr="00962894">
        <w:rPr>
          <w:rFonts w:ascii="Times New Roman" w:hAnsi="Times New Roman" w:cs="Times New Roman"/>
          <w:b/>
          <w:u w:val="single"/>
        </w:rPr>
        <w:t>Dugoročne obveze i k</w:t>
      </w:r>
      <w:r w:rsidR="00962894">
        <w:rPr>
          <w:rFonts w:ascii="Times New Roman" w:hAnsi="Times New Roman" w:cs="Times New Roman"/>
          <w:b/>
          <w:u w:val="single"/>
        </w:rPr>
        <w:t>apital na dan 31.12.2022.</w:t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 xml:space="preserve">8.733.834,95 kn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  <w:b/>
          <w:u w:val="single"/>
        </w:rPr>
      </w:pPr>
      <w:r w:rsidRPr="00962894">
        <w:rPr>
          <w:rFonts w:ascii="Times New Roman" w:hAnsi="Times New Roman" w:cs="Times New Roman"/>
          <w:b/>
          <w:u w:val="single"/>
        </w:rPr>
        <w:t>Novac na dan 31.12.2022.</w:t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 xml:space="preserve"> 131.807,38 kn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Stanje </w:t>
      </w:r>
      <w:proofErr w:type="spellStart"/>
      <w:r w:rsidRPr="004642FE">
        <w:rPr>
          <w:rFonts w:ascii="Times New Roman" w:hAnsi="Times New Roman" w:cs="Times New Roman"/>
        </w:rPr>
        <w:t>podračuna</w:t>
      </w:r>
      <w:proofErr w:type="spellEnd"/>
      <w:r w:rsidRPr="004642FE">
        <w:rPr>
          <w:rFonts w:ascii="Times New Roman" w:hAnsi="Times New Roman" w:cs="Times New Roman"/>
        </w:rPr>
        <w:t xml:space="preserve"> pri OBŽ na dan 31.12.2022.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  <w:t xml:space="preserve"> 131.807,38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Prosječan broj zaposlenih na bazi </w:t>
      </w:r>
      <w:r w:rsidR="00962894">
        <w:rPr>
          <w:rFonts w:ascii="Times New Roman" w:hAnsi="Times New Roman" w:cs="Times New Roman"/>
        </w:rPr>
        <w:t>stanja koncem mjeseca</w:t>
      </w:r>
      <w:r w:rsidR="00962894">
        <w:rPr>
          <w:rFonts w:ascii="Times New Roman" w:hAnsi="Times New Roman" w:cs="Times New Roman"/>
        </w:rPr>
        <w:tab/>
      </w:r>
      <w:r w:rsidR="00962894">
        <w:rPr>
          <w:rFonts w:ascii="Times New Roman" w:hAnsi="Times New Roman" w:cs="Times New Roman"/>
        </w:rPr>
        <w:tab/>
      </w:r>
      <w:r w:rsidR="00962894">
        <w:rPr>
          <w:rFonts w:ascii="Times New Roman" w:hAnsi="Times New Roman" w:cs="Times New Roman"/>
        </w:rPr>
        <w:tab/>
        <w:t xml:space="preserve"> </w:t>
      </w:r>
      <w:r w:rsidRPr="004642FE">
        <w:rPr>
          <w:rFonts w:ascii="Times New Roman" w:hAnsi="Times New Roman" w:cs="Times New Roman"/>
        </w:rPr>
        <w:t>27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962894" w:rsidRDefault="00962894" w:rsidP="00464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  <w:b/>
          <w:u w:val="single"/>
        </w:rPr>
      </w:pPr>
      <w:r w:rsidRPr="00962894">
        <w:rPr>
          <w:rFonts w:ascii="Times New Roman" w:hAnsi="Times New Roman" w:cs="Times New Roman"/>
          <w:b/>
          <w:u w:val="single"/>
        </w:rPr>
        <w:t>Potraživanja na dan 31.12.2022.</w:t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ab/>
        <w:t xml:space="preserve"> 283.596,17 kn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Kontinuirani rashodi budućih razdoblja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  <w:t xml:space="preserve"> </w:t>
      </w:r>
      <w:r w:rsidR="00962894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 xml:space="preserve">283.596,17 kn 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</w:rPr>
      </w:pPr>
      <w:r w:rsidRPr="00962894">
        <w:rPr>
          <w:rFonts w:ascii="Times New Roman" w:hAnsi="Times New Roman" w:cs="Times New Roman"/>
          <w:b/>
          <w:u w:val="single"/>
        </w:rPr>
        <w:t>Dugotrajna imovina (</w:t>
      </w:r>
      <w:proofErr w:type="spellStart"/>
      <w:r w:rsidRPr="00962894">
        <w:rPr>
          <w:rFonts w:ascii="Times New Roman" w:hAnsi="Times New Roman" w:cs="Times New Roman"/>
          <w:b/>
          <w:u w:val="single"/>
        </w:rPr>
        <w:t>mate</w:t>
      </w:r>
      <w:r w:rsidR="00962894">
        <w:rPr>
          <w:rFonts w:ascii="Times New Roman" w:hAnsi="Times New Roman" w:cs="Times New Roman"/>
          <w:b/>
          <w:u w:val="single"/>
        </w:rPr>
        <w:t>rij</w:t>
      </w:r>
      <w:proofErr w:type="spellEnd"/>
      <w:r w:rsidR="00962894">
        <w:rPr>
          <w:rFonts w:ascii="Times New Roman" w:hAnsi="Times New Roman" w:cs="Times New Roman"/>
          <w:b/>
          <w:u w:val="single"/>
        </w:rPr>
        <w:t xml:space="preserve">., </w:t>
      </w:r>
      <w:proofErr w:type="spellStart"/>
      <w:r w:rsidR="00962894">
        <w:rPr>
          <w:rFonts w:ascii="Times New Roman" w:hAnsi="Times New Roman" w:cs="Times New Roman"/>
          <w:b/>
          <w:u w:val="single"/>
        </w:rPr>
        <w:t>nefinan</w:t>
      </w:r>
      <w:proofErr w:type="spellEnd"/>
      <w:r w:rsidR="00962894">
        <w:rPr>
          <w:rFonts w:ascii="Times New Roman" w:hAnsi="Times New Roman" w:cs="Times New Roman"/>
          <w:b/>
          <w:u w:val="single"/>
        </w:rPr>
        <w:t xml:space="preserve">. i </w:t>
      </w:r>
      <w:proofErr w:type="spellStart"/>
      <w:r w:rsidR="00962894">
        <w:rPr>
          <w:rFonts w:ascii="Times New Roman" w:hAnsi="Times New Roman" w:cs="Times New Roman"/>
          <w:b/>
          <w:u w:val="single"/>
        </w:rPr>
        <w:t>financ</w:t>
      </w:r>
      <w:proofErr w:type="spellEnd"/>
      <w:r w:rsidR="00962894">
        <w:rPr>
          <w:rFonts w:ascii="Times New Roman" w:hAnsi="Times New Roman" w:cs="Times New Roman"/>
          <w:b/>
          <w:u w:val="single"/>
        </w:rPr>
        <w:t>.)</w:t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="00962894">
        <w:rPr>
          <w:rFonts w:ascii="Times New Roman" w:hAnsi="Times New Roman" w:cs="Times New Roman"/>
          <w:b/>
          <w:u w:val="single"/>
        </w:rPr>
        <w:tab/>
      </w:r>
      <w:r w:rsidRPr="00962894">
        <w:rPr>
          <w:rFonts w:ascii="Times New Roman" w:hAnsi="Times New Roman" w:cs="Times New Roman"/>
          <w:b/>
          <w:u w:val="single"/>
        </w:rPr>
        <w:t xml:space="preserve">8.628.666,40 kn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962894">
        <w:rPr>
          <w:rFonts w:ascii="Times New Roman" w:hAnsi="Times New Roman" w:cs="Times New Roman"/>
          <w:b/>
        </w:rPr>
        <w:t>OBRAZAC BILANCA</w:t>
      </w:r>
      <w:r w:rsidRPr="004642FE">
        <w:rPr>
          <w:rFonts w:ascii="Times New Roman" w:hAnsi="Times New Roman" w:cs="Times New Roman"/>
        </w:rPr>
        <w:t>: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962894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Svako </w:t>
      </w:r>
      <w:r w:rsidR="00962894" w:rsidRPr="004642FE">
        <w:rPr>
          <w:rFonts w:ascii="Times New Roman" w:hAnsi="Times New Roman" w:cs="Times New Roman"/>
        </w:rPr>
        <w:t>evidentiranje</w:t>
      </w:r>
      <w:r w:rsidRPr="004642FE">
        <w:rPr>
          <w:rFonts w:ascii="Times New Roman" w:hAnsi="Times New Roman" w:cs="Times New Roman"/>
        </w:rPr>
        <w:t xml:space="preserve"> poslovnih promjena je provedeno u skladu</w:t>
      </w:r>
      <w:r w:rsidR="00962894">
        <w:rPr>
          <w:rFonts w:ascii="Times New Roman" w:hAnsi="Times New Roman" w:cs="Times New Roman"/>
        </w:rPr>
        <w:t xml:space="preserve"> sa zakonom i u zakonskim </w:t>
      </w:r>
      <w:r w:rsidRPr="004642FE">
        <w:rPr>
          <w:rFonts w:ascii="Times New Roman" w:hAnsi="Times New Roman" w:cs="Times New Roman"/>
        </w:rPr>
        <w:t>rokovima.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lastRenderedPageBreak/>
        <w:t>Sve stavke bilance su u granicama svih normi, izvršen je popis imovine</w:t>
      </w:r>
      <w:r w:rsidR="00962894">
        <w:rPr>
          <w:rFonts w:ascii="Times New Roman" w:hAnsi="Times New Roman" w:cs="Times New Roman"/>
        </w:rPr>
        <w:t>, te ispravak vrijednosti</w:t>
      </w:r>
      <w:r w:rsidR="00962894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 xml:space="preserve">istih. Navedeno je i evidentirano u poslovnim knjigama škole.   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Sastavni dio bilješki je i tablica "Sudski sporovi u tijeku" koju će te pro</w:t>
      </w:r>
      <w:r w:rsidR="00962894">
        <w:rPr>
          <w:rFonts w:ascii="Times New Roman" w:hAnsi="Times New Roman" w:cs="Times New Roman"/>
        </w:rPr>
        <w:t xml:space="preserve">naći ispod opisnog dijela </w:t>
      </w:r>
      <w:r w:rsidRPr="004642FE">
        <w:rPr>
          <w:rFonts w:ascii="Times New Roman" w:hAnsi="Times New Roman" w:cs="Times New Roman"/>
        </w:rPr>
        <w:t>bilance,</w:t>
      </w:r>
      <w:r w:rsidR="00962894">
        <w:rPr>
          <w:rFonts w:ascii="Times New Roman" w:hAnsi="Times New Roman" w:cs="Times New Roman"/>
        </w:rPr>
        <w:t xml:space="preserve"> Ugovornih odnosa</w:t>
      </w:r>
      <w:r w:rsidR="00BF3255">
        <w:rPr>
          <w:rFonts w:ascii="Times New Roman" w:hAnsi="Times New Roman" w:cs="Times New Roman"/>
        </w:rPr>
        <w:t xml:space="preserve"> koji mogu postati obveza ili imovina</w:t>
      </w:r>
      <w:bookmarkStart w:id="0" w:name="_GoBack"/>
      <w:bookmarkEnd w:id="0"/>
      <w:r w:rsidR="00962894">
        <w:rPr>
          <w:rFonts w:ascii="Times New Roman" w:hAnsi="Times New Roman" w:cs="Times New Roman"/>
        </w:rPr>
        <w:t xml:space="preserve"> škola nema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Što se tiče sudskih sporova, škola na dan 31.12.2022. ima jedan sudski spor u tijeku. 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962894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Kao i prijašnjih godina, najveću stavku klase 1 čine kontinuirani rashod </w:t>
      </w:r>
      <w:r w:rsidR="00962894">
        <w:rPr>
          <w:rFonts w:ascii="Times New Roman" w:hAnsi="Times New Roman" w:cs="Times New Roman"/>
        </w:rPr>
        <w:t xml:space="preserve">budućih godina, odnosno, </w:t>
      </w:r>
      <w:r w:rsidRPr="004642FE">
        <w:rPr>
          <w:rFonts w:ascii="Times New Roman" w:hAnsi="Times New Roman" w:cs="Times New Roman"/>
        </w:rPr>
        <w:t>konto 193 a odnosi se na plaće i naknade plaća za prosinac 2022.,</w:t>
      </w:r>
      <w:r w:rsidR="00962894">
        <w:rPr>
          <w:rFonts w:ascii="Times New Roman" w:hAnsi="Times New Roman" w:cs="Times New Roman"/>
        </w:rPr>
        <w:t xml:space="preserve"> a koje su podmirene već </w:t>
      </w:r>
      <w:r w:rsidRPr="004642FE">
        <w:rPr>
          <w:rFonts w:ascii="Times New Roman" w:hAnsi="Times New Roman" w:cs="Times New Roman"/>
        </w:rPr>
        <w:t xml:space="preserve">u siječnju 2023. 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tbl>
      <w:tblPr>
        <w:tblStyle w:val="Reetkatablice"/>
        <w:tblW w:w="8871" w:type="dxa"/>
        <w:tblLook w:val="04A0" w:firstRow="1" w:lastRow="0" w:firstColumn="1" w:lastColumn="0" w:noHBand="0" w:noVBand="1"/>
      </w:tblPr>
      <w:tblGrid>
        <w:gridCol w:w="688"/>
        <w:gridCol w:w="958"/>
        <w:gridCol w:w="1707"/>
        <w:gridCol w:w="1194"/>
        <w:gridCol w:w="1322"/>
        <w:gridCol w:w="1449"/>
        <w:gridCol w:w="1531"/>
        <w:gridCol w:w="22"/>
      </w:tblGrid>
      <w:tr w:rsidR="00BF3255" w:rsidRPr="00962894" w:rsidTr="00BF3255">
        <w:trPr>
          <w:gridAfter w:val="1"/>
          <w:wAfter w:w="22" w:type="dxa"/>
          <w:trHeight w:val="2081"/>
        </w:trPr>
        <w:tc>
          <w:tcPr>
            <w:tcW w:w="688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Red.</w:t>
            </w:r>
            <w:r w:rsidRPr="00962894">
              <w:rPr>
                <w:rFonts w:ascii="Times New Roman" w:hAnsi="Times New Roman" w:cs="Times New Roman"/>
                <w:b/>
                <w:bCs/>
              </w:rPr>
              <w:br/>
              <w:t>br.</w:t>
            </w:r>
          </w:p>
        </w:tc>
        <w:tc>
          <w:tcPr>
            <w:tcW w:w="958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Tužitelj</w:t>
            </w:r>
          </w:p>
        </w:tc>
        <w:tc>
          <w:tcPr>
            <w:tcW w:w="1707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Razlog sudskog spora</w:t>
            </w:r>
          </w:p>
        </w:tc>
        <w:tc>
          <w:tcPr>
            <w:tcW w:w="1194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Iznos glavnice</w:t>
            </w:r>
          </w:p>
        </w:tc>
        <w:tc>
          <w:tcPr>
            <w:tcW w:w="1322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 xml:space="preserve">Procjena </w:t>
            </w:r>
            <w:proofErr w:type="spellStart"/>
            <w:r w:rsidRPr="00962894">
              <w:rPr>
                <w:rFonts w:ascii="Times New Roman" w:hAnsi="Times New Roman" w:cs="Times New Roman"/>
                <w:b/>
                <w:bCs/>
              </w:rPr>
              <w:t>financ</w:t>
            </w:r>
            <w:proofErr w:type="spellEnd"/>
            <w:r w:rsidRPr="00962894">
              <w:rPr>
                <w:rFonts w:ascii="Times New Roman" w:hAnsi="Times New Roman" w:cs="Times New Roman"/>
                <w:b/>
                <w:bCs/>
              </w:rPr>
              <w:t>. učinka*</w:t>
            </w:r>
          </w:p>
        </w:tc>
        <w:tc>
          <w:tcPr>
            <w:tcW w:w="1449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62894">
              <w:rPr>
                <w:rFonts w:ascii="Times New Roman" w:hAnsi="Times New Roman" w:cs="Times New Roman"/>
                <w:b/>
                <w:bCs/>
              </w:rPr>
              <w:t>Procjenjeno</w:t>
            </w:r>
            <w:proofErr w:type="spellEnd"/>
            <w:r w:rsidRPr="00962894">
              <w:rPr>
                <w:rFonts w:ascii="Times New Roman" w:hAnsi="Times New Roman" w:cs="Times New Roman"/>
                <w:b/>
                <w:bCs/>
              </w:rPr>
              <w:t xml:space="preserve"> vrijeme odljeva ili priljeva sredstava</w:t>
            </w:r>
          </w:p>
        </w:tc>
        <w:tc>
          <w:tcPr>
            <w:tcW w:w="1531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Početak sudskog spora</w:t>
            </w:r>
          </w:p>
        </w:tc>
      </w:tr>
      <w:tr w:rsidR="00BF3255" w:rsidRPr="00962894" w:rsidTr="00BF3255">
        <w:trPr>
          <w:gridAfter w:val="1"/>
          <w:wAfter w:w="22" w:type="dxa"/>
          <w:trHeight w:val="814"/>
        </w:trPr>
        <w:tc>
          <w:tcPr>
            <w:tcW w:w="688" w:type="dxa"/>
            <w:vMerge w:val="restart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8" w:type="dxa"/>
            <w:vMerge w:val="restart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</w:rPr>
            </w:pPr>
            <w:r w:rsidRPr="00962894">
              <w:rPr>
                <w:rFonts w:ascii="Times New Roman" w:hAnsi="Times New Roman" w:cs="Times New Roman"/>
              </w:rPr>
              <w:t>Fizička osoba 1</w:t>
            </w:r>
          </w:p>
        </w:tc>
        <w:tc>
          <w:tcPr>
            <w:tcW w:w="1707" w:type="dxa"/>
            <w:vMerge w:val="restart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</w:rPr>
            </w:pPr>
            <w:r w:rsidRPr="00962894">
              <w:rPr>
                <w:rFonts w:ascii="Times New Roman" w:hAnsi="Times New Roman" w:cs="Times New Roman"/>
              </w:rPr>
              <w:t>Dodatak na osnovu plaće za rad u posebnim uvjetima, čl.13.</w:t>
            </w:r>
          </w:p>
        </w:tc>
        <w:tc>
          <w:tcPr>
            <w:tcW w:w="1194" w:type="dxa"/>
            <w:vMerge w:val="restart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</w:rPr>
            </w:pPr>
            <w:r w:rsidRPr="0096289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22" w:type="dxa"/>
            <w:vMerge w:val="restart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</w:rPr>
            </w:pPr>
            <w:r w:rsidRPr="0096289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49" w:type="dxa"/>
            <w:vMerge w:val="restart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</w:rPr>
            </w:pPr>
            <w:proofErr w:type="spellStart"/>
            <w:r w:rsidRPr="00962894">
              <w:rPr>
                <w:rFonts w:ascii="Times New Roman" w:hAnsi="Times New Roman" w:cs="Times New Roman"/>
              </w:rPr>
              <w:t>xx</w:t>
            </w:r>
            <w:proofErr w:type="spellEnd"/>
          </w:p>
        </w:tc>
        <w:tc>
          <w:tcPr>
            <w:tcW w:w="1531" w:type="dxa"/>
            <w:vMerge w:val="restart"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  <w:r w:rsidRPr="00962894">
              <w:rPr>
                <w:rFonts w:ascii="Times New Roman" w:hAnsi="Times New Roman" w:cs="Times New Roman"/>
              </w:rPr>
              <w:t>21.travnja 2021</w:t>
            </w:r>
          </w:p>
        </w:tc>
      </w:tr>
      <w:tr w:rsidR="00BF3255" w:rsidRPr="00962894" w:rsidTr="00BF3255">
        <w:trPr>
          <w:gridAfter w:val="1"/>
          <w:wAfter w:w="22" w:type="dxa"/>
          <w:trHeight w:val="829"/>
        </w:trPr>
        <w:tc>
          <w:tcPr>
            <w:tcW w:w="688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8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</w:p>
        </w:tc>
      </w:tr>
      <w:tr w:rsidR="00BF3255" w:rsidRPr="00962894" w:rsidTr="00BF3255">
        <w:trPr>
          <w:gridAfter w:val="1"/>
          <w:wAfter w:w="22" w:type="dxa"/>
          <w:trHeight w:val="829"/>
        </w:trPr>
        <w:tc>
          <w:tcPr>
            <w:tcW w:w="688" w:type="dxa"/>
            <w:vMerge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8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7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4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2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9" w:type="dxa"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  <w:r w:rsidRPr="0096289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1" w:type="dxa"/>
            <w:hideMark/>
          </w:tcPr>
          <w:p w:rsidR="00BF3255" w:rsidRPr="00962894" w:rsidRDefault="00BF3255">
            <w:pPr>
              <w:rPr>
                <w:rFonts w:ascii="Times New Roman" w:hAnsi="Times New Roman" w:cs="Times New Roman"/>
              </w:rPr>
            </w:pPr>
            <w:r w:rsidRPr="00962894">
              <w:rPr>
                <w:rFonts w:ascii="Times New Roman" w:hAnsi="Times New Roman" w:cs="Times New Roman"/>
              </w:rPr>
              <w:t> </w:t>
            </w:r>
          </w:p>
        </w:tc>
      </w:tr>
      <w:tr w:rsidR="00BF3255" w:rsidRPr="00962894" w:rsidTr="00BF3255">
        <w:trPr>
          <w:trHeight w:val="814"/>
        </w:trPr>
        <w:tc>
          <w:tcPr>
            <w:tcW w:w="1646" w:type="dxa"/>
            <w:gridSpan w:val="2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 </w:t>
            </w:r>
            <w:r w:rsidRPr="00BF3255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1707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2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49" w:type="dxa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3" w:type="dxa"/>
            <w:gridSpan w:val="2"/>
            <w:hideMark/>
          </w:tcPr>
          <w:p w:rsidR="00BF3255" w:rsidRPr="00962894" w:rsidRDefault="00BF3255" w:rsidP="00962894">
            <w:pPr>
              <w:rPr>
                <w:rFonts w:ascii="Times New Roman" w:hAnsi="Times New Roman" w:cs="Times New Roman"/>
                <w:b/>
                <w:bCs/>
              </w:rPr>
            </w:pPr>
            <w:r w:rsidRPr="009628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  <w:b/>
        </w:rPr>
      </w:pPr>
      <w:r w:rsidRPr="00962894">
        <w:rPr>
          <w:rFonts w:ascii="Times New Roman" w:hAnsi="Times New Roman" w:cs="Times New Roman"/>
          <w:b/>
        </w:rPr>
        <w:t>OBRAZAC P-VRIO</w:t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</w:p>
    <w:p w:rsidR="00962894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Došlo je do povećanja obujma nefinancijske imovine u iznosu od 6</w:t>
      </w:r>
      <w:r w:rsidR="00962894">
        <w:rPr>
          <w:rFonts w:ascii="Times New Roman" w:hAnsi="Times New Roman" w:cs="Times New Roman"/>
        </w:rPr>
        <w:t xml:space="preserve">39 418,56 kn. </w:t>
      </w:r>
      <w:r w:rsidR="00962894">
        <w:rPr>
          <w:rFonts w:ascii="Times New Roman" w:hAnsi="Times New Roman" w:cs="Times New Roman"/>
        </w:rPr>
        <w:tab/>
      </w:r>
      <w:r w:rsidR="00962894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Školi je doniran autobus od strane županije. 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962894" w:rsidRDefault="004642FE" w:rsidP="004642FE">
      <w:pPr>
        <w:rPr>
          <w:rFonts w:ascii="Times New Roman" w:hAnsi="Times New Roman" w:cs="Times New Roman"/>
          <w:b/>
        </w:rPr>
      </w:pPr>
      <w:r w:rsidRPr="00962894">
        <w:rPr>
          <w:rFonts w:ascii="Times New Roman" w:hAnsi="Times New Roman" w:cs="Times New Roman"/>
          <w:b/>
        </w:rPr>
        <w:t xml:space="preserve">OBRAZAC OBVEZE: </w:t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Na obrascu su evidentirane obveze u </w:t>
      </w:r>
      <w:proofErr w:type="spellStart"/>
      <w:r w:rsidRPr="004642FE">
        <w:rPr>
          <w:rFonts w:ascii="Times New Roman" w:hAnsi="Times New Roman" w:cs="Times New Roman"/>
        </w:rPr>
        <w:t>sheetu</w:t>
      </w:r>
      <w:proofErr w:type="spellEnd"/>
      <w:r w:rsidRPr="004642FE">
        <w:rPr>
          <w:rFonts w:ascii="Times New Roman" w:hAnsi="Times New Roman" w:cs="Times New Roman"/>
        </w:rPr>
        <w:t xml:space="preserve"> OBV kako to </w:t>
      </w:r>
      <w:r w:rsidR="00962894" w:rsidRPr="004642FE">
        <w:rPr>
          <w:rFonts w:ascii="Times New Roman" w:hAnsi="Times New Roman" w:cs="Times New Roman"/>
        </w:rPr>
        <w:t>zahtjeva</w:t>
      </w:r>
      <w:r w:rsidRPr="004642FE">
        <w:rPr>
          <w:rFonts w:ascii="Times New Roman" w:hAnsi="Times New Roman" w:cs="Times New Roman"/>
        </w:rPr>
        <w:t xml:space="preserve"> ob</w:t>
      </w:r>
      <w:r w:rsidR="00962894">
        <w:rPr>
          <w:rFonts w:ascii="Times New Roman" w:hAnsi="Times New Roman" w:cs="Times New Roman"/>
        </w:rPr>
        <w:t>razac i to prema uputama.</w:t>
      </w:r>
      <w:r w:rsidR="00962894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>Sve obveze se podmiruju u roku.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Najveći iznos s salda obveza se odnosi na obveze prema zaposlen</w:t>
      </w:r>
      <w:r w:rsidR="00962894">
        <w:rPr>
          <w:rFonts w:ascii="Times New Roman" w:hAnsi="Times New Roman" w:cs="Times New Roman"/>
        </w:rPr>
        <w:t xml:space="preserve">ima koji su podmireni već </w:t>
      </w:r>
      <w:r w:rsidRPr="004642FE">
        <w:rPr>
          <w:rFonts w:ascii="Times New Roman" w:hAnsi="Times New Roman" w:cs="Times New Roman"/>
        </w:rPr>
        <w:t>09.01.2023.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BF3255" w:rsidRDefault="00BF3255" w:rsidP="004642FE">
      <w:pPr>
        <w:rPr>
          <w:rFonts w:ascii="Times New Roman" w:hAnsi="Times New Roman" w:cs="Times New Roman"/>
          <w:b/>
        </w:rPr>
      </w:pPr>
    </w:p>
    <w:p w:rsidR="004642FE" w:rsidRPr="00962894" w:rsidRDefault="004642FE" w:rsidP="004642FE">
      <w:pPr>
        <w:rPr>
          <w:rFonts w:ascii="Times New Roman" w:hAnsi="Times New Roman" w:cs="Times New Roman"/>
        </w:rPr>
      </w:pPr>
      <w:r w:rsidRPr="00962894">
        <w:rPr>
          <w:rFonts w:ascii="Times New Roman" w:hAnsi="Times New Roman" w:cs="Times New Roman"/>
          <w:b/>
        </w:rPr>
        <w:t>OBRAZAC PR-RAS:</w:t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  <w:r w:rsidRPr="00962894">
        <w:rPr>
          <w:rFonts w:ascii="Times New Roman" w:hAnsi="Times New Roman" w:cs="Times New Roman"/>
          <w:b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U PR-RAS obrascu su evidentirani svi nastali prihodi i rashodi od 1. s</w:t>
      </w:r>
      <w:r w:rsidR="00962894">
        <w:rPr>
          <w:rFonts w:ascii="Times New Roman" w:hAnsi="Times New Roman" w:cs="Times New Roman"/>
        </w:rPr>
        <w:t xml:space="preserve">iječnja do 31.12.2022. te </w:t>
      </w:r>
      <w:r w:rsidRPr="004642FE">
        <w:rPr>
          <w:rFonts w:ascii="Times New Roman" w:hAnsi="Times New Roman" w:cs="Times New Roman"/>
        </w:rPr>
        <w:t>su u skladu sa zakonom i provedeni.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962894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Na kraju poslovne godine iskazan je višak prihoda od redovnog poslovanja 9</w:t>
      </w:r>
      <w:r w:rsidR="00962894">
        <w:rPr>
          <w:rFonts w:ascii="Times New Roman" w:hAnsi="Times New Roman" w:cs="Times New Roman"/>
        </w:rPr>
        <w:t xml:space="preserve">7 171,61 kune, te manjak </w:t>
      </w:r>
      <w:r w:rsidRPr="004642FE">
        <w:rPr>
          <w:rFonts w:ascii="Times New Roman" w:hAnsi="Times New Roman" w:cs="Times New Roman"/>
        </w:rPr>
        <w:t xml:space="preserve">prihoda od </w:t>
      </w:r>
      <w:r w:rsidR="00962894" w:rsidRPr="004642FE">
        <w:rPr>
          <w:rFonts w:ascii="Times New Roman" w:hAnsi="Times New Roman" w:cs="Times New Roman"/>
        </w:rPr>
        <w:t>nefinancijske</w:t>
      </w:r>
      <w:r w:rsidRPr="004642FE">
        <w:rPr>
          <w:rFonts w:ascii="Times New Roman" w:hAnsi="Times New Roman" w:cs="Times New Roman"/>
        </w:rPr>
        <w:t xml:space="preserve"> imovine od 50.641 kuna. Dobit na kraju proračun</w:t>
      </w:r>
      <w:r w:rsidR="00962894">
        <w:rPr>
          <w:rFonts w:ascii="Times New Roman" w:hAnsi="Times New Roman" w:cs="Times New Roman"/>
        </w:rPr>
        <w:t xml:space="preserve">ske 2022. godine iznosi  </w:t>
      </w:r>
      <w:r w:rsidRPr="004642FE">
        <w:rPr>
          <w:rFonts w:ascii="Times New Roman" w:hAnsi="Times New Roman" w:cs="Times New Roman"/>
        </w:rPr>
        <w:t xml:space="preserve">74.022,91 kuna. </w:t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U konačnici kada navedenu dobit 2022. godine </w:t>
      </w:r>
      <w:r w:rsidR="00962894" w:rsidRPr="004642FE">
        <w:rPr>
          <w:rFonts w:ascii="Times New Roman" w:hAnsi="Times New Roman" w:cs="Times New Roman"/>
        </w:rPr>
        <w:t>uvećam</w:t>
      </w:r>
      <w:r w:rsidRPr="004642FE">
        <w:rPr>
          <w:rFonts w:ascii="Times New Roman" w:hAnsi="Times New Roman" w:cs="Times New Roman"/>
        </w:rPr>
        <w:t>/uma</w:t>
      </w:r>
      <w:r w:rsidR="00962894">
        <w:rPr>
          <w:rFonts w:ascii="Times New Roman" w:hAnsi="Times New Roman" w:cs="Times New Roman"/>
        </w:rPr>
        <w:t xml:space="preserve">njim za preneseni višak/ </w:t>
      </w:r>
      <w:r w:rsidRPr="004642FE">
        <w:rPr>
          <w:rFonts w:ascii="Times New Roman" w:hAnsi="Times New Roman" w:cs="Times New Roman"/>
        </w:rPr>
        <w:t xml:space="preserve">manjak iz 2022. godine, u slijedeću 2023. godinu prenosimo višak od </w:t>
      </w:r>
      <w:r w:rsidR="00962894">
        <w:rPr>
          <w:rFonts w:ascii="Times New Roman" w:hAnsi="Times New Roman" w:cs="Times New Roman"/>
        </w:rPr>
        <w:t xml:space="preserve">105.318,99 kune, kako je </w:t>
      </w:r>
      <w:r w:rsidRPr="004642FE">
        <w:rPr>
          <w:rFonts w:ascii="Times New Roman" w:hAnsi="Times New Roman" w:cs="Times New Roman"/>
        </w:rPr>
        <w:t>i vidljivo pod šifrom X006.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 xml:space="preserve">U </w:t>
      </w:r>
      <w:proofErr w:type="spellStart"/>
      <w:r w:rsidRPr="004642FE">
        <w:rPr>
          <w:rFonts w:ascii="Times New Roman" w:hAnsi="Times New Roman" w:cs="Times New Roman"/>
        </w:rPr>
        <w:t>Levanjskoj</w:t>
      </w:r>
      <w:proofErr w:type="spellEnd"/>
      <w:r w:rsidRPr="004642FE">
        <w:rPr>
          <w:rFonts w:ascii="Times New Roman" w:hAnsi="Times New Roman" w:cs="Times New Roman"/>
        </w:rPr>
        <w:t xml:space="preserve"> Varoši, 10.02.2023.</w:t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962894">
      <w:pPr>
        <w:ind w:left="5664" w:firstLine="708"/>
        <w:jc w:val="center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Ravnateljica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962894">
      <w:pPr>
        <w:ind w:left="6372" w:firstLine="708"/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>Nataša Šego</w:t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Pr="004642FE" w:rsidRDefault="004642FE" w:rsidP="004642FE">
      <w:pPr>
        <w:rPr>
          <w:rFonts w:ascii="Times New Roman" w:hAnsi="Times New Roman" w:cs="Times New Roman"/>
        </w:rPr>
      </w:pP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  <w:r w:rsidRPr="004642FE">
        <w:rPr>
          <w:rFonts w:ascii="Times New Roman" w:hAnsi="Times New Roman" w:cs="Times New Roman"/>
        </w:rPr>
        <w:tab/>
      </w:r>
    </w:p>
    <w:p w:rsidR="004642FE" w:rsidRDefault="004642FE" w:rsidP="004642F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42FE" w:rsidRDefault="004642FE" w:rsidP="004642F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2B0" w:rsidRDefault="004642FE" w:rsidP="004642FE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8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48F3"/>
    <w:multiLevelType w:val="hybridMultilevel"/>
    <w:tmpl w:val="E49CFA9C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FE"/>
    <w:rsid w:val="004642FE"/>
    <w:rsid w:val="00962894"/>
    <w:rsid w:val="00BF3255"/>
    <w:rsid w:val="00C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2894"/>
    <w:pPr>
      <w:ind w:left="720"/>
      <w:contextualSpacing/>
    </w:pPr>
  </w:style>
  <w:style w:type="table" w:styleId="Reetkatablice">
    <w:name w:val="Table Grid"/>
    <w:basedOn w:val="Obinatablica"/>
    <w:uiPriority w:val="39"/>
    <w:rsid w:val="00962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2894"/>
    <w:pPr>
      <w:ind w:left="720"/>
      <w:contextualSpacing/>
    </w:pPr>
  </w:style>
  <w:style w:type="table" w:styleId="Reetkatablice">
    <w:name w:val="Table Grid"/>
    <w:basedOn w:val="Obinatablica"/>
    <w:uiPriority w:val="39"/>
    <w:rsid w:val="00962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1</cp:revision>
  <dcterms:created xsi:type="dcterms:W3CDTF">2023-02-10T10:29:00Z</dcterms:created>
  <dcterms:modified xsi:type="dcterms:W3CDTF">2023-02-10T10:58:00Z</dcterms:modified>
</cp:coreProperties>
</file>