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08"/>
          <w:tab w:val="left" w:pos="1701" w:leader="none"/>
        </w:tabs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FINANCIJSKOG PLANA ZA 2022. GODINU S PROJEKCIJAMA ZA 2023. I 2024. GODINU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701" w:leader="none"/>
        </w:tabs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701" w:leader="none"/>
        </w:tabs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701" w:leader="none"/>
        </w:tabs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NAZIV PRORAČUNSKOG KORISNIKA: OSNOVNA ŠKOLA SVETVINČENAT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SAŽETAK DJELOKRUGA RADA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Osnovna škola Svetvinčenat je javna ustanova koja obavlja djelatnost osnovnog obrazovanja. Djeluje na području Općine Svetvinčenat, te obuhvaća sljedeća mjesta: Svetvinčenat, Štokovci, Bijažići, Pekici, Bibići, Kersani, Bokordići, Pajkovići, Pusti, Peresiji, Bričanci, Foli, Ferlini, Brhanići, Krase, Smoljanci, Salambati, Rapanji, Vidulini, Šikuti i Krančići. Prometna povezanost je dobra. Osnivač Škole je Istarska županija. </w:t>
      </w:r>
      <w:r>
        <w:rPr>
          <w:rFonts w:cs="Arial" w:ascii="Arial" w:hAnsi="Arial"/>
          <w:bCs/>
          <w:sz w:val="22"/>
          <w:szCs w:val="22"/>
        </w:rPr>
        <w:t xml:space="preserve">Škola pruža osnovnoškolsko obrazovanje </w:t>
      </w:r>
      <w:r>
        <w:rPr>
          <w:rFonts w:cs="Arial" w:ascii="Arial" w:hAnsi="Arial"/>
          <w:sz w:val="22"/>
          <w:szCs w:val="22"/>
        </w:rPr>
        <w:t xml:space="preserve">učenicima od 1. do 8. razreda. </w:t>
      </w:r>
      <w:r>
        <w:rPr>
          <w:rFonts w:cs="Arial" w:ascii="Arial" w:hAnsi="Arial"/>
          <w:bCs/>
          <w:sz w:val="22"/>
          <w:szCs w:val="22"/>
        </w:rPr>
        <w:t>Odgojno-obrazovni rad organiziran je u petodnevnom radnom tjednu. Nastava je organizirana u dvije smjene.</w:t>
      </w:r>
      <w:r>
        <w:rPr>
          <w:rFonts w:cs="Arial" w:ascii="Arial" w:hAnsi="Arial"/>
          <w:sz w:val="22"/>
          <w:szCs w:val="22"/>
          <w:lang w:eastAsia="en-US"/>
        </w:rPr>
        <w:t xml:space="preserve"> Nastava se izvodi prema Nacionalnom okvirnom kurikulumu Ministarstva znanosti i obrazovanja, Godišnjem planu i programu rada škole te Školskom kurikulumu.</w:t>
      </w:r>
      <w:r>
        <w:rPr>
          <w:rFonts w:cs="Arial" w:ascii="Arial" w:hAnsi="Arial"/>
          <w:sz w:val="22"/>
          <w:szCs w:val="22"/>
        </w:rPr>
        <w:t xml:space="preserve"> Djelatnost osnovnoškolskog obrazovanja ostvaruje se u skladu s odredbama Zakona o odgoju i obrazovanju u osnovnoj i srednjoj školi, Zakona o ustanovama i Statuta škole.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NAZIV PROGRAMA: REDOVNA DJELATNOST OSNOVNIH ŠKOLA – MINIMALNI STANDARD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programa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Aktivnosti: Materijalni rashodi OŠ po kriterijima, Materijalni rashodi OŠ po stvarnom trošku, Materijalni rashodi OŠ po stvarnom trošku-drugi izvori, Plaće i drugi rashodi za zaposlene osnovnih škola.  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Mjesečne dotacije za podmirenje troškova redovne djelatnosti.</w:t>
      </w:r>
      <w:r>
        <w:rPr>
          <w:rFonts w:cs="Arial" w:ascii="Arial" w:hAnsi="Arial"/>
          <w:bCs/>
          <w:sz w:val="22"/>
          <w:szCs w:val="22"/>
        </w:rPr>
        <w:t xml:space="preserve"> Redovna djelatnost škole financira se iz sredstava decentralizacije iz kojih se podmiruju materijalni i financijski rashodi škole. Izračun mjesečne dotacije proizlazi iz obračuna: 38,00 kn po učeniku, 300 kn po razrednom odjelu, 2.000,00 kn za matičnu školsku zgradu.</w:t>
      </w:r>
      <w:r>
        <w:rPr>
          <w:rFonts w:cs="Arial" w:ascii="Arial" w:hAnsi="Arial"/>
          <w:sz w:val="22"/>
          <w:szCs w:val="22"/>
        </w:rPr>
        <w:t xml:space="preserve"> Sistematski pregledi zaposlenika i prijevoz učenika u školu. </w:t>
      </w:r>
      <w:r>
        <w:rPr>
          <w:rFonts w:cs="Arial" w:ascii="Arial" w:hAnsi="Arial"/>
          <w:bCs/>
          <w:sz w:val="22"/>
          <w:szCs w:val="22"/>
        </w:rPr>
        <w:t>50% vlastitih prihoda od najma školskih prostorija troši se na podmirenje troška energenata (struja, lož ulje), dok se 50% prihoda prosljeđuje osnivaču. Financiranje plaća, naknade prijevoza na posao i ostalih materijalnih prava zaposlenih.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Zakonske i druge podloge na kojima se zasniva program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Godišnjim planom  i programom odgojno-obrazovnog rada škole utvrđeni su uvjeti rada, broj djelatnika škole, organizacija rada, godišnji izvedbeni kurikulumi, kulturna i javna djelatnost škole, zdravstveno-socijalna zaštita učenika, ekološka zaštita, školski preventivni program, permanentno stručno osposobljavanje i usavršavanje, profesionalno informiranje i usmjeravanje. Školski kurikulum sadrži plan neposrednog odgojno-obrazovnog rada s djecom u izbornim programima, izvannastavnim aktivnostima, školskim projektima, izvanučioničkoj nastavi, dodatnoj i dopunskoj nastavi  te izvanškolskim aktivnostima. Financijski plan izrađuje se na temelju Zakona o proračunu, Pravilnika o proračunskim klasifikacijama, Pravilnika o proračunskom računovodstvu i računskom planu te Uputama za izradu Proračuna Istarske županije. Osnovne škole, kojima je osnivač Istarska županija, financiraju se temeljem Odluke o kriterijima i mjerilima za osiguravanje minimalnog financijskog standarda javnih potreba u osnovnom školstvu. Cilj je financiranje općih i materijalnih rashoda škole, održavanje, opremanje i ulaganje u školske objekte. Iz decentraliziranih sredstava podmiruju se troškovi za uredski materijal i ostale materijalne rashode, energiju, prijevoz učenika, zdravstvene preglede zaposlenika te premije osiguranja. Plaće i materijalna prava radnika regulirana su Temeljnim kolektivnim ugovorom za službenike i namještenike u javnim službama i granskim Kolektivnim ugovorom za zaposlenike u osnovnoškolskim ustanovama.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Usklađenje ciljeva, strategije i programa s dokumentima dugoročnog razvoja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Školske ustanove ne donose strateške, već godišnje planove i programe (GPP i Školski kurikulum) prema planu i programu koje je donijelo Ministarstvo znanosti i obrazovanja.  Vertikala usklađivanja ciljeva i programa MZO-a i jedinice lokalne samouprave sa školskom ustanovom, provedena je u dodirnim točkama. Nastavni planovi se odnose na nastavnu godinu, a ne na fiskalnu godinu. Uzrok mnogim odstupanjima u izvršenju financijskog plana je  pomak određenih aktivnosti iz jednog u drugo polugodište što uzrokuje promjene izvršenja financijskog plana tijekom 2 fiskalne godine. Osnovni cilj je učenicima pružiti kvalitetan odgoj i obrazovanje, podizati kvalitetu odgojno-obrazovnog rada stalnim i kvalitetnim usavršavanjem učitelja te podizanjem materijalnih i drugih uvjeta, u skladu s mogućnostima.  Kroz uključivanje u izvannastavne i izvanškolske aktivnosti, natjecanja i školske projekte kod učenika se potiče  i razvija kreativnost, samostalnost u radu i samopoštovanje. S općim odgojem i obrazovanjem, učenici dobivaju temeljna znanja potrebna za život, otvara im se mogućnost daljnjeg školovanja i postiže se jednakost odgojno obrazovnih mogućnosti.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Ishodište i pokazatelji na kojima se zasnivaju izračuni i ocjene potrebnih sredstava za provođenje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Izvori financiranja: decentralizirana sredstva za osnovne škole, vlastiti prihodi, državni proračun.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Potrebna sredstva za podmirenje materijalnih rashoda planirana su na temelju istih u prethodnim razdobljima, a u skladu s predviđenim uvjetima poslovanja u nadolazećoj proračunskoj godini. Decentralizirana sredstva za osnovne škole (mjesečne dotacije) iz proračuna Istarske županije planirana su na temelju sljedećih kriterija: broj učenika, broj razrednih odjeljenja i broja školskih zgrada (jedna matična školska zgrada). Plaće i materijalna prava zaposlenika, koje financira Ministarstvo znanosti i obrazovanja, planiraju se u skladu s Kolektivnim ugovorima.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Izvještaj o postignutim ciljevima i rezultatima programa temeljenim na pokazateljima uspješnosti u prethodnoj godini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Održavanje redovnog poslovanja škole. Omogućiti nesmetano obavljanje nastavnog procesa i tekuće održavanje postojeće opreme radi sigurnosti djece i zaposlenika. Stručnim usavršavanjem zaposlenika omogućiti kvalitetan rad škole i njeno funkcioniranje. Omogućiti nesmetano odvijanje nastavnog procesa, spriječiti te ukloniti nastale kvarove i oštećenja. Pravilna raspodjela financijskih sredstava sukladno namjeni. Prevencija bolesti, pravovremeno otkrivanje bolesti.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Očuvanje zdravlja radnika i prevencija bolovanja.</w:t>
      </w:r>
      <w:r>
        <w:rPr>
          <w:rFonts w:cs="Arial" w:ascii="Arial" w:hAnsi="Arial"/>
          <w:bCs/>
          <w:sz w:val="22"/>
          <w:szCs w:val="22"/>
        </w:rPr>
        <w:t xml:space="preserve"> Omogućiti učenicima putnicima dolazak u školu.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Organizirani prijevoz učenika putnika od mjesta stanovanja do škole i natrag prema točno utvrđenom tenderu vožnje, sukladno Ugovoru/Sporazumu s prijevoznikom.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Omogućiti vanjskim suradnicima korištenje školskih prostorija za izvođenje programa izvanškolskih aktivnosti. Omogućiti učenicima sudjelovanje u izvanškolskim aktivnostima u prostorijama škole zbog veće udaljenosti od gradskih središta.</w:t>
      </w:r>
      <w:r>
        <w:rPr>
          <w:rFonts w:cs="Arial" w:ascii="Arial" w:hAnsi="Arial"/>
          <w:sz w:val="22"/>
          <w:szCs w:val="22"/>
        </w:rPr>
        <w:t xml:space="preserve"> Plesne i sportsko-rekreativne aktivnosti u prostorijama škole. Opskrba lokalnog stanovništva – trgovina u Smoljancima u prizemlju stare školske zgrade. Realizacija postavljenih ciljeva u skladu sa zakonskim propisima i planom.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NAZIV PROGRAMA: REDOVNA DJELATNOST OSNOVNIH ŠKOLA - IZNAD STANDARDA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Aktivnosti: Materijalni rashodi OŠ po stvarnom trošku iznad standarda.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Energenti (električna energija, lož ulje), premije osiguranja školske imovine, osiguranja od odgovornosti i nezgoda zaposlenika.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Zakonske i druge podloge na kojima se zasniva program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Usklađenje ciljeva, strategije i programa s dokumentima dugoročnog razvoja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Ishodište i pokazatelji na kojima se zasnivaju izračuni i ocjene potrebnih sredstava za provođenje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Izvori financiranja: osnivač Istarska županija - nenamjenski prihodi i primici.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Izvještaj o postignutim ciljevima i rezultatima programa temeljenim na pokazateljima uspješnosti u prethodnoj godini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Omogućiti nesmetano odvijanje redovnog poslovanja i odgojno-obrazovnog procesa. Sigurni uvjeti za rad. Energetska učinkovitost.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NAZIV PROGRAMA: PROGRAMI OBRAZOVANJA IZNAD STANDARDA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Aktivnosti: Školska kuhinja, Produženi boravak, </w:t>
      </w:r>
      <w:r>
        <w:rPr>
          <w:rFonts w:cs="Arial" w:ascii="Arial" w:hAnsi="Arial"/>
          <w:bCs/>
          <w:sz w:val="22"/>
          <w:szCs w:val="22"/>
        </w:rPr>
        <w:t xml:space="preserve">Mala glagoljaška akademija, Novigradsko proljeće, Ostali programi i projekti, Školski list, časopisi i knjige, Nagrade za učenike, EU projekti kod proračunskih korisnika, Zavičajna nastava, Školska shema, Medni dan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Svakodnevna priprema kuhanog obroka. Neobavezan oblik odgojno-obrazovnog rada namijenjen učenicima od 1. do 4. razreda koji se provodi izvan redovne nastave, pod nadzorom učitelja, u jutarnjim satima prije nastave koja se za učenike nižih razreda provodi u poslijepodnevnoj smjeni. Provodi se u obliku različitih aktivnosti: pisanje zadaće, druženje, igra, projekti. Mala glagoljaška akademija - </w:t>
      </w:r>
      <w:r>
        <w:rPr>
          <w:rFonts w:cs="Arial" w:ascii="Arial" w:hAnsi="Arial"/>
          <w:bCs/>
          <w:sz w:val="22"/>
          <w:szCs w:val="22"/>
        </w:rPr>
        <w:t>ljetna škola u Roču u kojoj učenici 4. razreda iz svih krajeva Hrvatske, podijeljeni u skupine od 35-40 učenika, rade u sedmodnevnim radionicama književnog, likovnog i novinarskog sadržaja.</w:t>
      </w:r>
      <w:r>
        <w:rPr>
          <w:rFonts w:cs="Arial" w:ascii="Arial" w:hAnsi="Arial"/>
          <w:sz w:val="22"/>
          <w:szCs w:val="22"/>
        </w:rPr>
        <w:t xml:space="preserve"> Sudionici se kreativno koriste glagoljicom kao izravnim medijem, likovnim predloškom, te obilaze autentična mjesta vezana za glogoljsku kulturu središnje Istre i Aleju glagoljaša. Za sudionike se organiziraju izleti i kulturno-zabavni programi.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Novigradsko proljeće - </w:t>
      </w:r>
      <w:r>
        <w:rPr>
          <w:rFonts w:cs="Arial" w:ascii="Arial" w:hAnsi="Arial"/>
          <w:bCs/>
          <w:sz w:val="22"/>
          <w:szCs w:val="22"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  <w:r>
        <w:rPr>
          <w:rFonts w:cs="Arial" w:ascii="Arial" w:hAnsi="Arial"/>
          <w:sz w:val="22"/>
          <w:szCs w:val="22"/>
        </w:rPr>
        <w:t xml:space="preserve"> Nabava udžbenika za obvezne i izborne predmete za učenike 1.-8. razreda. Prigodni pokloni kao nagrada za učenike koji su prošli s odličnim uspjehom na kraju školske godine. Međupredmetno istraživanje zavičajnih vrijednosti i osobitosti. Podjela voća i mliječnih proizvoda učenicima prema tjednom rasporedu tijekom školske godine.</w:t>
      </w:r>
      <w:r>
        <w:rPr>
          <w:rFonts w:cs="Arial" w:ascii="Arial" w:hAnsi="Arial"/>
          <w:bCs/>
          <w:sz w:val="22"/>
          <w:szCs w:val="22"/>
        </w:rPr>
        <w:t xml:space="preserve"> Promocija meda s hrvatskih pčelinjaka za učenike 1. razreda putem podjele meda i edukativne slikovnice.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Zakonske i druge podloge na kojima se zasniva program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Provedba kurikularne reforme. Uvjeti odvijanja aktivnosti izvan škole propisani su </w:t>
      </w:r>
      <w:r>
        <w:rPr>
          <w:rFonts w:cs="Arial" w:ascii="Arial" w:hAnsi="Arial"/>
          <w:color w:val="000000"/>
          <w:sz w:val="22"/>
          <w:szCs w:val="22"/>
        </w:rPr>
        <w:t xml:space="preserve">Pravilnikom o izvođenju izleta, ekskurzija i drugih odgojno obrazovnih aktivnosti izvan škole. 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Usklađenje ciljeva, strategije i programa s dokumentima dugoročnog razvoja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Ishodište i pokazatelji na kojima se zasnivaju izračuni i ocjene potrebnih sredstava za provođenje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Izvori financiranja: prihodi za posebne namjene, vlastiti prihodi, Općina Svetvinčenat, državni proračun, donacije, nenamjenski prihodi i primici, EU fondovi.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Prihodi za posebne namjene podrazumijevaju prihod od pružanja usluge školske marende i produženog boravka učenicima škole. Planirani su na temelju broja učenika korisnika usluga i cijene istih.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Izvještaj o postignutim ciljevima i rezultatima programa temeljenim na pokazateljima uspješnosti u prethodnoj godini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Omogućiti učenicima konzumiranje toplog obroka za vrijeme boravka u školi. Priprema zdravog obroka prema nutritivnim standardima za osnovnoškolski uzrast djece. Zbrinjavanje djece zaposlenih roditelja prema planu i programu rada produženog boravka. Sadržajno provođenje vremena van redovne nastave pod stručnim nadzorom učitelja. Sudjelovanje učenika u projektima, stručna pomoć pri savladavanju nastavnih sadržaja.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Njegovanje srednjovjekovne kulture i očuvanje kulturne baštine. Njegovanje glagoljice i glagoljske pismenosti. Prepoznati i omogućiti djeci da izraze svoje talente iz jezičnog i drugih umjetničkih područja. Usmjeravanje i poticaj talentirane djece prema izboru životne profesije u skladu s talentima i sposobnostima. </w:t>
      </w:r>
      <w:r>
        <w:rPr>
          <w:rFonts w:cs="Arial" w:ascii="Arial" w:hAnsi="Arial"/>
          <w:sz w:val="22"/>
          <w:szCs w:val="22"/>
        </w:rPr>
        <w:t xml:space="preserve">Pomoć roditeljima pri financiranju opremanja djece za pohađanje nastave. Valorizacija naučenog gradiva, poticaj izvrsnosti, ambicija i razvoj kompetencija kod učenika. Posebna pohvala učenicima s odličnim uspjehom. Institucionalizacija zavičajne nastave na lokalnoj razini. Upoznati, očuvati i afirmirati posebnosti zavičajnog identiteta, povijesti i tradicije. Razviti sposobnost učenika za samostalno učenje i sklonost cjeloživotnom obrazovanju. Omogućiti kvalitetan rad škole i pružanje dodatnih mogućnosti, njegovati zavičajni identitet, kroz projektne zadatke razvijati kod učenika smisao za timski rad. Povećati konzumaciju zdravih namirnica. Podizanje svijesti o značaju svakodnevne pravilne i zdrave prehrane djece. Oblikovati prehrambene navike djece s ciljem trajnog povećanja udjela voća i povrća te mlijeka i mliječnih proizvoda u njihovoj prehrani kako bi se spriječila rana debljina i druge bolesti uzrokovane neadekvatnom prehranom. Podizanje svijesti o značaju lokalne poljoprivredne proizvodnje i zdrave prehrane. </w:t>
      </w:r>
      <w:r>
        <w:rPr>
          <w:rFonts w:cs="Arial" w:ascii="Arial" w:hAnsi="Arial"/>
          <w:bCs/>
          <w:sz w:val="22"/>
          <w:szCs w:val="22"/>
        </w:rPr>
        <w:t>Educiranje djece i njihovih roditelja o važnosti konzumiranja meda i uključivanja meda u prehranu.</w:t>
      </w:r>
      <w:r>
        <w:rPr>
          <w:rFonts w:cs="Arial" w:ascii="Arial" w:hAnsi="Arial"/>
          <w:sz w:val="22"/>
          <w:szCs w:val="22"/>
        </w:rPr>
        <w:t xml:space="preserve"> Oblikovanje zdravih prehrambenih navika djece. </w:t>
      </w:r>
      <w:r>
        <w:rPr>
          <w:rFonts w:cs="Arial" w:ascii="Arial" w:hAnsi="Arial"/>
          <w:bCs/>
          <w:sz w:val="22"/>
          <w:szCs w:val="22"/>
        </w:rPr>
        <w:t>Poticanje uporabe meda domaćih proizvođača, edukacija o važnosti pčelarstva za sveukupnu poljoprivrednu proizvodnju i biološku raznolikost.</w:t>
      </w:r>
      <w:r>
        <w:rPr>
          <w:rFonts w:cs="Arial" w:ascii="Arial" w:hAnsi="Arial"/>
          <w:sz w:val="22"/>
          <w:szCs w:val="22"/>
        </w:rPr>
        <w:t xml:space="preserve"> Interes i zadovoljstvo sudjelovanjem kod učenika 1. razreda.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NAZIV PROGRAMA: OPREMANJE U OSNOVNIM ŠKOLAMA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Aktivnosti: Školski namještaj i oprema, Opremanje knjižnica.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Nabava opreme za potrebe redovnog odvijanja nastavnih procesa i redovnog poslovanja škole. Nabava knjiga, lektire i stručne literature za školsku knjižnicu.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Zakonske i druge podloge na kojima se zasniva program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Provedba kurikularne reforme, ugovori o donacijama.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Usklađenje ciljeva, strategije i programa s dokumentima dugoročnog razvoja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Ishodište i pokazatelji na kojima se zasnivaju izračuni i ocjene potrebnih sredstava za provođenje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Izvori financiranja: vlastiti prihodi, donacije.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Vlastiti prihodi podrazumijevaju prihod od naplate školske marende zaposlenicima i najma školskih prostorija.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Izvještaj o postignutim ciljevima i rezultatima programa temeljenim na pokazateljima uspješnosti u prethodnoj godini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Osigurati nužne uvjete za rad i nesmetano odvijanje odgojno-obrazovnog procesa. Podizanje kvalitete nastavnih procesa i boravka djece u školi. Učenicima i zaposlenicima omogućiti sigurne uvjete rada. Spriječiti i ukloniti nastale kvarove i oštećenja. Unaprijediti kvalitetu i omogućiti nesmetano odvijanje odgojno-obrazovnog procesa. Povećanje knjižnog fonda.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NAZIV PROGRAMA: MOZAIK 4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Obrazloženje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Aktivnost: Provedba projekta MOZAIK 4 – pomoćnici u nastavi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Zakonske i druge podloge na kojima se zasniva program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 sklopu projekta “Suradnjom i znanjem do snažne EU regije” - </w:t>
      </w:r>
      <w:r>
        <w:rPr>
          <w:rFonts w:cs="Arial" w:ascii="Arial" w:hAnsi="Arial"/>
          <w:bCs/>
          <w:iCs/>
          <w:sz w:val="22"/>
          <w:szCs w:val="22"/>
        </w:rPr>
        <w:t>„Osiguravanje pomoćnika u nastavi i stručnih komunikacijskih posrednika učenicima s teškoćama u razvoju u osnovnoškolskim i srednjoškolskim odgojno-obrazovnim ustanovama, faza IV“.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Usklađenje ciljeva, strategije i programa s dokumentima dugoročnog razvoja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Upravljanje regionalnim razvojem Istre, što podrazumijeva osnaživanje javnog sektora u apsorpciji EU sredstava te upravljanje strateškim razvojem Istarske županije. Podrška integraciji djece s teškoćama u razvoju u redovne odgojno-obrazovne ustanove, kroz financiranje rada pomoćnika u nastavi/stručno komunikacijskih posrednika za pružanje neposredne potpore za učenike s teškoćama u razvoju u školama kojih je osnivač Istarska županija. Time se stvaraju preduvjeti za njihovu uspješnu integraciju u odg.-obraz. sustav, osiguravanje njima primjerenog nastavnog procesa te podizanje kvalitete njihova života. Na dugoročnoj osnovi, PUN/SKP će donijeti napredak u njihovom odgojno-obrazovnom uspjehu, socijalizaciji, emocionalnom napretku, razvoju vještina i sposobnosti te povećanju osposobljenosti za samostalan život i rad. Njihovim roditeljima projekt omogućuje nesmetano obavljanje posla te doprinos ekonomskom boljitku obitelji.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Ishodište i pokazatelji na kojima se zasnivaju izračuni i ocjene potrebnih sredstava za provođenje programa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Izvori financiranja: Strukturni fondovi EU, osnivač Istarska županija iz nenamjenskih prihoda i primitaka.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Izvještaj o postignutim ciljevima i rezultatima programa temeljenim na pokazateljima uspješnosti u prethodnoj godini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Potpora uključivanju učenika s teškoćama u razvoju u osnovnoškolske odgojno-obrazovne ustanove kako bi se osigurali uvjeti za poboljšanje njihovih obrazovnih postignuća, uspješniju socijalizaciju i emocionalno funkcioniranje.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KLASA: 400-02/21-01/02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URBROJ: 2168/07-01-21-02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Svetvinčenat, 28.12.2021.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Ravnateljica: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Silvija Jeromela Obrovac, prof.</w:t>
      </w:r>
    </w:p>
    <w:sectPr>
      <w:headerReference w:type="default" r:id="rId2"/>
      <w:headerReference w:type="first" r:id="rId3"/>
      <w:type w:val="nextPage"/>
      <w:pgSz w:w="11906" w:h="16838"/>
      <w:pgMar w:left="1418" w:right="1418" w:header="709" w:top="851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48f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link w:val="Naslov1Char"/>
    <w:uiPriority w:val="99"/>
    <w:qFormat/>
    <w:rsid w:val="00a848f7"/>
    <w:pPr>
      <w:keepNext w:val="true"/>
      <w:outlineLvl w:val="0"/>
    </w:pPr>
    <w:rPr>
      <w:b/>
      <w:bCs/>
    </w:rPr>
  </w:style>
  <w:style w:type="paragraph" w:styleId="Stilnaslova2">
    <w:name w:val="Heading 2"/>
    <w:basedOn w:val="Normal"/>
    <w:next w:val="Normal"/>
    <w:link w:val="Naslov2Char"/>
    <w:uiPriority w:val="99"/>
    <w:qFormat/>
    <w:rsid w:val="00a04414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uiPriority w:val="99"/>
    <w:qFormat/>
    <w:locked/>
    <w:rsid w:val="00a848f7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styleId="Naslov2Char" w:customStyle="1">
    <w:name w:val="Naslov 2 Char"/>
    <w:basedOn w:val="DefaultParagraphFont"/>
    <w:link w:val="Naslov2"/>
    <w:uiPriority w:val="99"/>
    <w:semiHidden/>
    <w:qFormat/>
    <w:locked/>
    <w:rsid w:val="00a04414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character" w:styleId="ZaglavljeChar" w:customStyle="1">
    <w:name w:val="Zaglavlje Char"/>
    <w:basedOn w:val="DefaultParagraphFont"/>
    <w:link w:val="Zaglavlje"/>
    <w:uiPriority w:val="99"/>
    <w:qFormat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character" w:styleId="PodnojeChar" w:customStyle="1">
    <w:name w:val="Podnožje Char"/>
    <w:basedOn w:val="DefaultParagraphFont"/>
    <w:link w:val="Podnoje"/>
    <w:uiPriority w:val="99"/>
    <w:semiHidden/>
    <w:qFormat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f0913"/>
    <w:rPr>
      <w:rFonts w:ascii="Tahoma" w:hAnsi="Tahoma" w:eastAsia="Times New Roman" w:cs="Tahoma"/>
      <w:sz w:val="16"/>
      <w:szCs w:val="16"/>
    </w:rPr>
  </w:style>
  <w:style w:type="character" w:styleId="Internetskapoveznica">
    <w:name w:val="Internetska poveznica"/>
    <w:basedOn w:val="DefaultParagraphFont"/>
    <w:rsid w:val="003a5856"/>
    <w:rPr>
      <w:color w:val="0000FF"/>
      <w:u w:val="single"/>
    </w:rPr>
  </w:style>
  <w:style w:type="character" w:styleId="BezproredaChar" w:customStyle="1">
    <w:name w:val="Bez proreda Char"/>
    <w:link w:val="Bezproreda"/>
    <w:uiPriority w:val="1"/>
    <w:qFormat/>
    <w:rsid w:val="0011092e"/>
    <w:rPr>
      <w:rFonts w:eastAsia="Times New Roman"/>
      <w:sz w:val="22"/>
      <w:szCs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Aria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b/>
      <w:color w:val="00000A"/>
      <w:sz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8090d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c94958"/>
    <w:pPr>
      <w:widowControl/>
      <w:bidi w:val="0"/>
      <w:jc w:val="left"/>
    </w:pPr>
    <w:rPr>
      <w:rFonts w:ascii="Arial" w:hAnsi="Arial" w:cs="Arial" w:eastAsia="Calibri"/>
      <w:color w:val="000000"/>
      <w:kern w:val="0"/>
      <w:sz w:val="24"/>
      <w:szCs w:val="24"/>
      <w:lang w:eastAsia="en-US" w:val="hr-HR" w:bidi="ar-SA"/>
    </w:rPr>
  </w:style>
  <w:style w:type="paragraph" w:styleId="Odlomakpopisa1" w:customStyle="1">
    <w:name w:val="Odlomak popisa1"/>
    <w:basedOn w:val="Normal"/>
    <w:uiPriority w:val="99"/>
    <w:qFormat/>
    <w:rsid w:val="00a1653f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165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semiHidden/>
    <w:rsid w:val="003165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f0913"/>
    <w:pPr/>
    <w:rPr>
      <w:rFonts w:ascii="Tahoma" w:hAnsi="Tahoma" w:cs="Tahoma"/>
      <w:sz w:val="16"/>
      <w:szCs w:val="16"/>
    </w:rPr>
  </w:style>
  <w:style w:type="paragraph" w:styleId="NoSpacing">
    <w:name w:val="No Spacing"/>
    <w:link w:val="BezproredaChar"/>
    <w:uiPriority w:val="1"/>
    <w:qFormat/>
    <w:rsid w:val="0011092e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557fc8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C853C-51E7-42BA-8A39-44870001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LibreOffice/6.2.8.2$Windows_X86_64 LibreOffice_project/f82ddfca21ebc1e222a662a32b25c0c9d20169ee</Application>
  <Pages>6</Pages>
  <Words>2012</Words>
  <Characters>13897</Characters>
  <CharactersWithSpaces>16053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2021-10-05T12:34:00Z</dcterms:created>
  <dc:creator>Korisnik</dc:creator>
  <dc:description/>
  <dc:language>hr-HR</dc:language>
  <cp:lastModifiedBy>Windows korisnik</cp:lastModifiedBy>
  <cp:lastPrinted>2017-12-27T12:02:00Z</cp:lastPrinted>
  <dcterms:modified xsi:type="dcterms:W3CDTF">2022-01-04T11:18:00Z</dcterms:modified>
  <cp:revision>13</cp:revision>
  <dc:subject/>
  <dc:title>Naziv županije: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