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8239"/>
      </w:tblGrid>
      <w:tr w:rsidR="003B4471" w:rsidRPr="0007069C" w:rsidTr="00C77836">
        <w:trPr>
          <w:trHeight w:val="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AB5" w:rsidRPr="00E7415F" w:rsidRDefault="00DD2AB5" w:rsidP="00DD2A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 DOKUMENTA:</w:t>
            </w:r>
          </w:p>
          <w:p w:rsidR="001C2140" w:rsidRDefault="001C2140" w:rsidP="00C77836">
            <w:pPr>
              <w:pStyle w:val="Naslov1"/>
              <w:rPr>
                <w:b w:val="0"/>
                <w:sz w:val="18"/>
                <w:szCs w:val="18"/>
              </w:rPr>
            </w:pPr>
          </w:p>
          <w:p w:rsidR="00DD2AB5" w:rsidRPr="00DD2AB5" w:rsidRDefault="00DD2AB5" w:rsidP="00DD2AB5"/>
          <w:p w:rsidR="003B4471" w:rsidRPr="0007069C" w:rsidRDefault="003B4471" w:rsidP="00C77836">
            <w:pPr>
              <w:pStyle w:val="Naslov1"/>
              <w:rPr>
                <w:b w:val="0"/>
                <w:sz w:val="18"/>
                <w:szCs w:val="18"/>
              </w:rPr>
            </w:pPr>
            <w:r w:rsidRPr="0007069C">
              <w:rPr>
                <w:b w:val="0"/>
                <w:sz w:val="18"/>
                <w:szCs w:val="18"/>
              </w:rPr>
              <w:t>NAZIV KORISNIKA:</w:t>
            </w: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SAŽETAK DJELOKRUGA RADA</w:t>
            </w:r>
            <w:r w:rsidR="003B4471" w:rsidRPr="0007069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69C">
              <w:rPr>
                <w:rFonts w:ascii="Arial" w:hAnsi="Arial" w:cs="Arial"/>
                <w:bCs/>
                <w:sz w:val="18"/>
                <w:szCs w:val="18"/>
              </w:rPr>
              <w:t>ORGANIZACIJSKA</w:t>
            </w: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69C">
              <w:rPr>
                <w:rFonts w:ascii="Arial" w:hAnsi="Arial" w:cs="Arial"/>
                <w:bCs/>
                <w:sz w:val="18"/>
                <w:szCs w:val="18"/>
              </w:rPr>
              <w:t>STRUKTURA:</w:t>
            </w: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STRUKTURA FINANCIJSKOG PLANA ZA RAZDOBLJE 2023.-2025.GODINE</w:t>
            </w: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SAŽETAK OPĆEG DIJELA FINANCIJSKOG PLANA:</w:t>
            </w: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D5D" w:rsidRDefault="00C33D5D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78B3" w:rsidRPr="0007069C" w:rsidRDefault="00EE78B3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69C">
              <w:rPr>
                <w:rFonts w:ascii="Arial" w:hAnsi="Arial" w:cs="Arial"/>
                <w:bCs/>
                <w:sz w:val="18"/>
                <w:szCs w:val="18"/>
              </w:rPr>
              <w:t>FINANCIJSKI  PLAN ZA</w:t>
            </w:r>
            <w:r w:rsidR="00DD2AB5">
              <w:rPr>
                <w:rFonts w:ascii="Arial" w:hAnsi="Arial" w:cs="Arial"/>
                <w:bCs/>
                <w:sz w:val="18"/>
                <w:szCs w:val="18"/>
              </w:rPr>
              <w:t xml:space="preserve"> RAZDOBLJE </w:t>
            </w:r>
            <w:r w:rsidRPr="0007069C">
              <w:rPr>
                <w:rFonts w:ascii="Arial" w:hAnsi="Arial" w:cs="Arial"/>
                <w:bCs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DD2AB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07069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DD2AB5">
              <w:rPr>
                <w:rFonts w:ascii="Arial" w:hAnsi="Arial" w:cs="Arial"/>
                <w:bCs/>
                <w:sz w:val="18"/>
                <w:szCs w:val="18"/>
              </w:rPr>
              <w:t>-2025.</w:t>
            </w:r>
            <w:r w:rsidRPr="0007069C">
              <w:rPr>
                <w:rFonts w:ascii="Arial" w:hAnsi="Arial" w:cs="Arial"/>
                <w:bCs/>
                <w:sz w:val="18"/>
                <w:szCs w:val="18"/>
              </w:rPr>
              <w:t xml:space="preserve"> GODIN</w:t>
            </w:r>
            <w:r w:rsidR="00DD2AB5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07069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A3395D" w:rsidRDefault="00C77836" w:rsidP="00C7783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3395D">
              <w:rPr>
                <w:rFonts w:ascii="Arial" w:hAnsi="Arial" w:cs="Arial"/>
                <w:bCs/>
                <w:sz w:val="16"/>
                <w:szCs w:val="16"/>
              </w:rPr>
              <w:t xml:space="preserve">OBRAZLOŽENJE VIŠKA PRIHODA </w:t>
            </w: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751A88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OBRAZLOŽENJE PREMA FUNKCIJSKOJ KLASIFIKACIJI:</w:t>
            </w: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45E" w:rsidRDefault="0055145E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45E" w:rsidRDefault="0055145E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45E" w:rsidRDefault="0055145E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45E" w:rsidRDefault="0055145E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45E" w:rsidRDefault="0055145E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45E" w:rsidRDefault="0055145E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Pr="0007069C" w:rsidRDefault="006B2342" w:rsidP="006B234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STRUKTURA FINANCIJSKOG PLANA ZA RAZDOBLJE 2023.-2025.GODINE</w:t>
            </w: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6B234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SAŽETAK OPĆEG DIJELA FINANCIJSKOG PLANA:</w:t>
            </w:r>
          </w:p>
          <w:p w:rsidR="006B2342" w:rsidRPr="0007069C" w:rsidRDefault="006B2342" w:rsidP="006B234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2342" w:rsidRDefault="006B2342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t>NAZIV PROGRAMA: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E8E">
              <w:rPr>
                <w:rFonts w:ascii="Arial" w:hAnsi="Arial" w:cs="Arial"/>
                <w:b/>
                <w:bCs/>
                <w:sz w:val="16"/>
                <w:szCs w:val="16"/>
              </w:rPr>
              <w:t>POVEZANOST PROGRAMA SA STRATEŠKIM DOKUMENTIMA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4C4C" w:rsidRDefault="00004C4C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4598" w:rsidRDefault="00D34598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4598" w:rsidRDefault="00D34598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4598" w:rsidRDefault="00D34598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4598" w:rsidRDefault="00D34598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4598" w:rsidRDefault="00D34598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RAZLOG ODSTUPANJA OD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PRIJAŠNJEG FINANCIJSKOG PLANA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4C4C" w:rsidRDefault="00004C4C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4C4C" w:rsidRDefault="00004C4C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4C4C" w:rsidRDefault="00004C4C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07069C" w:rsidRDefault="003B4471" w:rsidP="00C778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4471" w:rsidRPr="0007069C" w:rsidRDefault="003B4471" w:rsidP="00C77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AB5" w:rsidRPr="00DD2AB5" w:rsidRDefault="00DD2AB5" w:rsidP="00DD2AB5">
            <w:pPr>
              <w:jc w:val="both"/>
              <w:rPr>
                <w:rFonts w:ascii="Arial" w:hAnsi="Arial" w:cs="Arial"/>
                <w:b/>
              </w:rPr>
            </w:pPr>
            <w:r w:rsidRPr="00DD2AB5">
              <w:rPr>
                <w:rFonts w:ascii="Arial" w:hAnsi="Arial" w:cs="Arial"/>
                <w:b/>
              </w:rPr>
              <w:t>OBRAZLOŽENJE FINANCIJSKOG PLANA ZA RAZDOBLJE 2023.-2025.GODINE</w:t>
            </w:r>
          </w:p>
          <w:p w:rsidR="00DD2AB5" w:rsidRDefault="00DD2AB5" w:rsidP="00DD2AB5">
            <w:pPr>
              <w:ind w:firstLine="7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2140" w:rsidRDefault="001C2140" w:rsidP="00C77836">
            <w:pPr>
              <w:jc w:val="both"/>
              <w:rPr>
                <w:rFonts w:ascii="Arial" w:hAnsi="Arial" w:cs="Arial"/>
                <w:b/>
              </w:rPr>
            </w:pPr>
          </w:p>
          <w:p w:rsidR="003B4471" w:rsidRPr="0015726F" w:rsidRDefault="003B4471" w:rsidP="00C77836">
            <w:pPr>
              <w:jc w:val="both"/>
              <w:rPr>
                <w:rFonts w:ascii="Arial" w:hAnsi="Arial" w:cs="Arial"/>
                <w:b/>
              </w:rPr>
            </w:pPr>
            <w:r w:rsidRPr="0015726F">
              <w:rPr>
                <w:rFonts w:ascii="Arial" w:hAnsi="Arial" w:cs="Arial"/>
                <w:b/>
              </w:rPr>
              <w:t>OSNOVNA ŠKOLA VIKTORA CARA EMINA</w:t>
            </w:r>
          </w:p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ind w:firstLine="7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C77836">
            <w:pPr>
              <w:ind w:firstLine="7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 xml:space="preserve">Poslovima odgojno obrazovnog rada u školi ostvaruju se nastavne, izvannastavne i izvanškolske aktivnosti, društveno koristan rad učenika, kulturno umjetničke, sportske, tehničke, društvene i druge aktivnosti, različiti oblici organiziranja  rada učenika u školi i izvan škole na temelju nastavnog plana i programa, zdravstvena zaštita učenika, rad stručne službe i drugi poslovi u neposrednoj svezi s odgojno obrazovnim radom. </w:t>
            </w:r>
          </w:p>
          <w:p w:rsidR="003B4471" w:rsidRPr="00B51B8E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Nastava je organizirana u jutarnjoj smjeni, u petodnevnom radnom tjednu, sa slobodnim subotama. Nastava, redovna, izborna, dodatna i dopunska izvodi se prema nastavnim planovima i programima, koje je</w:t>
            </w:r>
            <w:r w:rsidR="001C2140">
              <w:rPr>
                <w:rFonts w:ascii="Arial" w:hAnsi="Arial" w:cs="Arial"/>
                <w:sz w:val="20"/>
                <w:szCs w:val="20"/>
              </w:rPr>
              <w:t xml:space="preserve"> donijelo Ministarstva znanosti i</w:t>
            </w:r>
            <w:r w:rsidRPr="00B51B8E">
              <w:rPr>
                <w:rFonts w:ascii="Arial" w:hAnsi="Arial" w:cs="Arial"/>
                <w:sz w:val="20"/>
                <w:szCs w:val="20"/>
              </w:rPr>
              <w:t xml:space="preserve"> obrazovanja i operativnom Godišnjem izvedbenom odgojno obrazovnom planu i programu rada. </w:t>
            </w:r>
          </w:p>
          <w:p w:rsidR="003B4471" w:rsidRPr="00B51B8E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Školskim kurikulu</w:t>
            </w:r>
            <w:r w:rsidRPr="00B51B8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B51B8E">
              <w:rPr>
                <w:rFonts w:ascii="Arial" w:hAnsi="Arial" w:cs="Arial"/>
                <w:sz w:val="20"/>
                <w:szCs w:val="20"/>
              </w:rPr>
              <w:t xml:space="preserve"> utvrđene su sljedeće zadaće odgojno-obrazovne institucije:</w:t>
            </w:r>
          </w:p>
          <w:p w:rsidR="003B4471" w:rsidRPr="00B51B8E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C7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omogućiti učenicima stjecanje kompetencija potrebnih za daljnje školovanje, život i rad</w:t>
            </w:r>
          </w:p>
          <w:p w:rsidR="003B4471" w:rsidRPr="00B51B8E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C7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razvijati kvalitetu odgojno-obrazovnog rada provođenjem suvremenih metoda i oblika rada</w:t>
            </w:r>
          </w:p>
          <w:p w:rsidR="003B4471" w:rsidRPr="00B51B8E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C7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kontinuirani profesionalni razvoj i napredovanje učitelja s ciljem stjecanja i usavršavanja učiteljskih kompetencija</w:t>
            </w:r>
          </w:p>
          <w:p w:rsidR="003B4471" w:rsidRPr="00B51B8E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C7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razvijati socijalne i komunikacijske vještine, kritičko mišljenje, samopouzdanje i međusobno povjerenje svih sudionika odgojno-obrazovnog procesa</w:t>
            </w:r>
          </w:p>
          <w:p w:rsidR="003B4471" w:rsidRPr="00B51B8E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C7783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kontinuirano, transparentno i motivirajuće pratiti postignuća i rezultate rada svih sudionika odgojno-obrazovnog procesa s ciljem poboljšanja kvalitete rada</w:t>
            </w:r>
          </w:p>
          <w:p w:rsidR="003B4471" w:rsidRPr="00B51B8E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Škola se sastoji od 1 Matične škole</w:t>
            </w:r>
            <w:r>
              <w:rPr>
                <w:rFonts w:ascii="Arial" w:hAnsi="Arial" w:cs="Arial"/>
                <w:sz w:val="20"/>
                <w:szCs w:val="20"/>
              </w:rPr>
              <w:t xml:space="preserve"> (OŠ Viktora Cara Emina Lovran) </w:t>
            </w:r>
            <w:r w:rsidRPr="00717535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dviju</w:t>
            </w:r>
            <w:r w:rsidRPr="00717535">
              <w:rPr>
                <w:rFonts w:ascii="Arial" w:hAnsi="Arial" w:cs="Arial"/>
                <w:sz w:val="20"/>
                <w:szCs w:val="20"/>
              </w:rPr>
              <w:t xml:space="preserve"> područnih škola ( PŠ </w:t>
            </w:r>
            <w:proofErr w:type="spellStart"/>
            <w:r w:rsidRPr="00717535">
              <w:rPr>
                <w:rFonts w:ascii="Arial" w:hAnsi="Arial" w:cs="Arial"/>
                <w:sz w:val="20"/>
                <w:szCs w:val="20"/>
              </w:rPr>
              <w:t>Dobreć</w:t>
            </w:r>
            <w:proofErr w:type="spellEnd"/>
            <w:r w:rsidRPr="00717535">
              <w:rPr>
                <w:rFonts w:ascii="Arial" w:hAnsi="Arial" w:cs="Arial"/>
                <w:sz w:val="20"/>
                <w:szCs w:val="20"/>
              </w:rPr>
              <w:t>,</w:t>
            </w:r>
            <w:r w:rsidR="00112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535">
              <w:rPr>
                <w:rFonts w:ascii="Arial" w:hAnsi="Arial" w:cs="Arial"/>
                <w:sz w:val="20"/>
                <w:szCs w:val="20"/>
              </w:rPr>
              <w:t>PŠ Mošćenička Draga)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Ukupan broj učenika u školskoj </w:t>
            </w:r>
            <w:r w:rsidRPr="00717535">
              <w:rPr>
                <w:rFonts w:ascii="Arial" w:hAnsi="Arial" w:cs="Arial"/>
                <w:sz w:val="20"/>
                <w:szCs w:val="20"/>
              </w:rPr>
              <w:t>godini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17535">
              <w:rPr>
                <w:rFonts w:ascii="Arial" w:hAnsi="Arial" w:cs="Arial"/>
                <w:sz w:val="20"/>
                <w:szCs w:val="20"/>
              </w:rPr>
              <w:t>./20</w:t>
            </w: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Pr="0071753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 xml:space="preserve">Broj učenika: 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I.-IV.:202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V.-VIII.:213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Ukupno:</w:t>
            </w: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 xml:space="preserve">Broj razrednih odjela (matična škola): 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I.-IV.: 8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V.-VIII.:8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Ukupno:16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 xml:space="preserve">Broj područnih razrednih odjela (škola): 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 Dobreć:1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 Mošćenička Draga:7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Ukupno: 8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Broj djelatnika: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učitelja razredne nastave: 13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 učitelja predmetne nastave: 29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stručnih suradnika: 4</w:t>
            </w:r>
          </w:p>
          <w:p w:rsidR="00DD2AB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ostalih djelatnika: 12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e)učiteljice produženog boravka:5</w:t>
            </w:r>
          </w:p>
          <w:p w:rsidR="00DD2AB5" w:rsidRPr="00717535" w:rsidRDefault="00DD2AB5" w:rsidP="00DD2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Ukupno: 63</w:t>
            </w: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1123BC" w:rsidRDefault="00EE78B3" w:rsidP="00C778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23BC">
              <w:rPr>
                <w:rFonts w:ascii="Arial" w:hAnsi="Arial" w:cs="Arial"/>
                <w:b/>
                <w:sz w:val="22"/>
                <w:szCs w:val="22"/>
              </w:rPr>
              <w:t>I.DIO FINANCIJSKOG PLANA –OPĆI DIO</w:t>
            </w: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728E" w:rsidRPr="00A3395D" w:rsidRDefault="00EE78B3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>Opći dio Financijskog plana sastavljen je od prikaza ukupnih prihoda i rashoda , te očekivanog viška prihoda poslovanja koji se planira prenesti iz prethodne godine.</w:t>
            </w:r>
          </w:p>
          <w:p w:rsidR="00C33D5D" w:rsidRPr="00A3395D" w:rsidRDefault="00C5728E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 xml:space="preserve">U Općem dijelu financijskog plana  prikazani su </w:t>
            </w:r>
            <w:r w:rsidR="00EE78B3" w:rsidRPr="00A339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prihodi i rashodi prema izvorima i ekonomskoj klasifikaciji, te rashodi prema funkcijskoj klasifikaciji, a sve temeljem Zakona o proračunu i </w:t>
            </w:r>
            <w:proofErr w:type="spellStart"/>
            <w:r w:rsidRPr="00A3395D">
              <w:rPr>
                <w:rFonts w:ascii="Arial" w:hAnsi="Arial" w:cs="Arial"/>
                <w:sz w:val="20"/>
                <w:szCs w:val="20"/>
              </w:rPr>
              <w:t>podzakonskim</w:t>
            </w:r>
            <w:proofErr w:type="spellEnd"/>
            <w:r w:rsidRPr="00A3395D">
              <w:rPr>
                <w:rFonts w:ascii="Arial" w:hAnsi="Arial" w:cs="Arial"/>
                <w:sz w:val="20"/>
                <w:szCs w:val="20"/>
              </w:rPr>
              <w:t xml:space="preserve"> aktima: Pravilnik o proračunskoj klasifikaciji (NN 26/10,120/13,1/20 i 144/21) i Pravilnikom o proračunskom računovodstvu i Računskom planu (NN 124/14,115/15,87/16,3/18,126/19,108/20</w:t>
            </w:r>
            <w:r w:rsidR="001123BC" w:rsidRPr="00A339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95D">
              <w:rPr>
                <w:rFonts w:ascii="Arial" w:hAnsi="Arial" w:cs="Arial"/>
                <w:sz w:val="20"/>
                <w:szCs w:val="20"/>
              </w:rPr>
              <w:t>i 144/21)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78B3" w:rsidRPr="00A3395D" w:rsidRDefault="00C5728E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8B3" w:rsidRPr="00A3395D">
              <w:rPr>
                <w:rFonts w:ascii="Arial" w:hAnsi="Arial" w:cs="Arial"/>
                <w:sz w:val="20"/>
                <w:szCs w:val="20"/>
              </w:rPr>
              <w:t xml:space="preserve">Financijski plan donosi se na razini </w:t>
            </w:r>
            <w:r w:rsidR="00E95229">
              <w:rPr>
                <w:rFonts w:ascii="Arial" w:hAnsi="Arial" w:cs="Arial"/>
                <w:sz w:val="20"/>
                <w:szCs w:val="20"/>
              </w:rPr>
              <w:t>skupine</w:t>
            </w:r>
            <w:r w:rsidR="00EE78B3" w:rsidRPr="00A3395D">
              <w:rPr>
                <w:rFonts w:ascii="Arial" w:hAnsi="Arial" w:cs="Arial"/>
                <w:sz w:val="20"/>
                <w:szCs w:val="20"/>
              </w:rPr>
              <w:t>.</w:t>
            </w:r>
            <w:r w:rsidR="001123BC" w:rsidRPr="00A3395D">
              <w:rPr>
                <w:rFonts w:ascii="Arial" w:hAnsi="Arial" w:cs="Arial"/>
                <w:sz w:val="20"/>
                <w:szCs w:val="20"/>
              </w:rPr>
              <w:t xml:space="preserve"> Financijski plan izražen je u eurima jer će od 01.01.2023.godine to biti službena valuta.</w:t>
            </w:r>
            <w:r w:rsidR="00EE78B3" w:rsidRPr="00A3395D">
              <w:rPr>
                <w:rFonts w:ascii="Arial" w:hAnsi="Arial" w:cs="Arial"/>
                <w:sz w:val="20"/>
                <w:szCs w:val="20"/>
              </w:rPr>
              <w:t xml:space="preserve"> Konstrukcija plana za 2023.godinu rađena je temeljem </w:t>
            </w:r>
            <w:r w:rsidRPr="00A3395D">
              <w:rPr>
                <w:rFonts w:ascii="Arial" w:hAnsi="Arial" w:cs="Arial"/>
                <w:sz w:val="20"/>
                <w:szCs w:val="20"/>
              </w:rPr>
              <w:t>realiziranih rashoda u 2022.godini, temeljem Uputa proračunskim korisnicima danim od s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 xml:space="preserve">trane Županije kao osnivača i 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uputama MFI, usvojenog Školskog kurikuluma za školsku godinu 2022./2023., te usvojenim Godišnjim izvedbenim odgojno-obrazovnim planom i programom za školsku godinu 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2022./2023.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>, sklopljenih Ugovora za najam školskog prostora, te sklopljenim Ugovorima za korištenje usluga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 xml:space="preserve"> u školskoj godini 2022./2023. (školska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 xml:space="preserve"> marend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a i produženi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 xml:space="preserve"> borav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ak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 xml:space="preserve">). Projekcije Financijskog plana za 2024. i 2025. godinu rađene su temeljem Financijskog plana za 2023.godinu  i planiranim aktivnostima koje se u tim godinama namjeravaju realizirati. U 2023.godini, a tako i u planu za projekcije za 2024. i 2025.g. ne očekuju se odstupanja u prihodima i rashodima. Tako se u 2023.godini u odnosu na 2022. godinu očekuje ostvarenje prihoda poslovanja </w:t>
            </w:r>
            <w:r w:rsidR="00405549" w:rsidRPr="00A3395D">
              <w:rPr>
                <w:rFonts w:ascii="Arial" w:hAnsi="Arial" w:cs="Arial"/>
                <w:sz w:val="20"/>
                <w:szCs w:val="20"/>
              </w:rPr>
              <w:t xml:space="preserve">indeks 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>povećanja od 1</w:t>
            </w:r>
            <w:r w:rsidR="00405549" w:rsidRPr="00A3395D">
              <w:rPr>
                <w:rFonts w:ascii="Arial" w:hAnsi="Arial" w:cs="Arial"/>
                <w:sz w:val="20"/>
                <w:szCs w:val="20"/>
              </w:rPr>
              <w:t>01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>,0</w:t>
            </w:r>
            <w:r w:rsidR="00405549" w:rsidRPr="00A3395D">
              <w:rPr>
                <w:rFonts w:ascii="Arial" w:hAnsi="Arial" w:cs="Arial"/>
                <w:sz w:val="20"/>
                <w:szCs w:val="20"/>
              </w:rPr>
              <w:t>9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>%, dok se u projekciji 2024.godine u odnosu na 2023. i 2025. u odnosu na 2024.g. očekuje jednaka realizacija prihoda poslovanja</w:t>
            </w:r>
            <w:r w:rsidR="00405549" w:rsidRPr="00A3395D">
              <w:rPr>
                <w:rFonts w:ascii="Arial" w:hAnsi="Arial" w:cs="Arial"/>
                <w:sz w:val="20"/>
                <w:szCs w:val="20"/>
              </w:rPr>
              <w:t xml:space="preserve"> indeks 100%</w:t>
            </w:r>
            <w:r w:rsidR="00C33D5D" w:rsidRPr="00A3395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3D5D" w:rsidRPr="00A3395D" w:rsidRDefault="00405549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>Kad govorimo o Prihodima od prodaje nefinancijske imovine u 2023.godini u odnosu na 2022.godinu očekujemo nešto manji priliv prihoda indeks 95,87%, dok za projekcije 2024. u odnosu na 2023. i 2025. u odnosu na 2024.godinu očekujemo jednaku realizaciju prihoda indeks 100%.</w:t>
            </w:r>
          </w:p>
          <w:p w:rsidR="00405549" w:rsidRPr="00A3395D" w:rsidRDefault="00405549" w:rsidP="00405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>Kad govorimo o rashodima poslovanja  plan za 2023.g. u odnosu na plan 2022.godinu povećat će se za indeks 101,49, dok za projekcije 2024.</w:t>
            </w:r>
            <w:r w:rsidR="00E41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 u odnosu na 2023.</w:t>
            </w:r>
            <w:r w:rsidR="00E4139C">
              <w:rPr>
                <w:rFonts w:ascii="Arial" w:hAnsi="Arial" w:cs="Arial"/>
                <w:sz w:val="20"/>
                <w:szCs w:val="20"/>
              </w:rPr>
              <w:t>očekujemo pad rashoda poslovanja indeks 98,81%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 i 2025. u odnosu na 2024.godinu očekujemo jednaku realizaciju rashoda poslovanj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a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 indeks 100%.</w:t>
            </w:r>
          </w:p>
          <w:p w:rsidR="00405549" w:rsidRPr="00A3395D" w:rsidRDefault="00405549" w:rsidP="00405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>Rashodi za nabavu nefinancijske imovine kod njih je situacija drugačija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. U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 2023.godini u odnosu na 2022.godinu očekujemo povećanje te vrste ra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shoda i t</w:t>
            </w:r>
            <w:r w:rsidRPr="00A3395D">
              <w:rPr>
                <w:rFonts w:ascii="Arial" w:hAnsi="Arial" w:cs="Arial"/>
                <w:sz w:val="20"/>
                <w:szCs w:val="20"/>
              </w:rPr>
              <w:t>o za indeks 579,42% .</w:t>
            </w:r>
          </w:p>
          <w:p w:rsidR="00EE78B3" w:rsidRPr="00C5728E" w:rsidRDefault="00405549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>Radi se o planiranoj prodaji nefinancijske imovine koju ćemo ostvariti u 2022.godini. Prihod bi se trebao realizirati krajem godine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,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 te će kao višak biti prenesen u slijedeće ra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z</w:t>
            </w:r>
            <w:r w:rsidRPr="00A3395D">
              <w:rPr>
                <w:rFonts w:ascii="Arial" w:hAnsi="Arial" w:cs="Arial"/>
                <w:sz w:val="20"/>
                <w:szCs w:val="20"/>
              </w:rPr>
              <w:t>doblje tako da ćemo zbog tog viška prihoda imati povećane rashode ove vrste. U projekcijama 2024. u odnosu na 2023.  iz tog ra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z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loga što se 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 xml:space="preserve">taj višak </w:t>
            </w:r>
            <w:r w:rsidRPr="00A3395D">
              <w:rPr>
                <w:rFonts w:ascii="Arial" w:hAnsi="Arial" w:cs="Arial"/>
                <w:sz w:val="20"/>
                <w:szCs w:val="20"/>
              </w:rPr>
              <w:t>prihod</w:t>
            </w:r>
            <w:r w:rsidR="00A3395D" w:rsidRPr="00A3395D">
              <w:rPr>
                <w:rFonts w:ascii="Arial" w:hAnsi="Arial" w:cs="Arial"/>
                <w:sz w:val="20"/>
                <w:szCs w:val="20"/>
              </w:rPr>
              <w:t>a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 planira potrošiti u 2023.godini imamo veliki pad indeksa na 5,99%</w:t>
            </w:r>
            <w:r w:rsidR="00A43FC9" w:rsidRPr="00A3395D">
              <w:rPr>
                <w:rFonts w:ascii="Arial" w:hAnsi="Arial" w:cs="Arial"/>
                <w:sz w:val="20"/>
                <w:szCs w:val="20"/>
              </w:rPr>
              <w:t xml:space="preserve"> dok se u 2025. u odnosu na 2024.godinu  očekuje realizacija ovih rashoda sa indeksom 100%.</w:t>
            </w:r>
          </w:p>
          <w:tbl>
            <w:tblPr>
              <w:tblW w:w="7720" w:type="dxa"/>
              <w:tblLayout w:type="fixed"/>
              <w:tblLook w:val="04A0" w:firstRow="1" w:lastRow="0" w:firstColumn="1" w:lastColumn="0" w:noHBand="0" w:noVBand="1"/>
            </w:tblPr>
            <w:tblGrid>
              <w:gridCol w:w="3128"/>
              <w:gridCol w:w="236"/>
              <w:gridCol w:w="236"/>
              <w:gridCol w:w="236"/>
              <w:gridCol w:w="1199"/>
              <w:gridCol w:w="1141"/>
              <w:gridCol w:w="1544"/>
            </w:tblGrid>
            <w:tr w:rsidR="00C77836" w:rsidRPr="00C77836" w:rsidTr="00A3395D">
              <w:trPr>
                <w:trHeight w:val="510"/>
              </w:trPr>
              <w:tc>
                <w:tcPr>
                  <w:tcW w:w="3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7836" w:rsidRPr="00C77836" w:rsidRDefault="00C77836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Plan za 2023.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7836" w:rsidRPr="00C77836" w:rsidRDefault="00C77836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Projekcija </w:t>
                  </w: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za 2024.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7836" w:rsidRPr="00C77836" w:rsidRDefault="00C77836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Projekcija </w:t>
                  </w: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za 2025.</w:t>
                  </w:r>
                </w:p>
              </w:tc>
            </w:tr>
            <w:tr w:rsidR="00C77836" w:rsidRPr="00C77836" w:rsidTr="00A3395D">
              <w:trPr>
                <w:trHeight w:val="570"/>
              </w:trPr>
              <w:tc>
                <w:tcPr>
                  <w:tcW w:w="3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PRIHODI UKUPNO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1.455.354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1.455.354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1.455.354</w:t>
                  </w:r>
                </w:p>
              </w:tc>
            </w:tr>
            <w:tr w:rsidR="00C77836" w:rsidRPr="00C77836" w:rsidTr="00A3395D">
              <w:trPr>
                <w:trHeight w:val="570"/>
              </w:trPr>
              <w:tc>
                <w:tcPr>
                  <w:tcW w:w="3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PRIHODI POSLOVANJA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1.455.004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1.455.004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1.455.004</w:t>
                  </w:r>
                </w:p>
              </w:tc>
            </w:tr>
            <w:tr w:rsidR="00C77836" w:rsidRPr="00C77836" w:rsidTr="00A3395D">
              <w:trPr>
                <w:trHeight w:val="495"/>
              </w:trPr>
              <w:tc>
                <w:tcPr>
                  <w:tcW w:w="3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PRIHODI OD PRODAJE NEFINANCIJSKE IMOVINE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</w:tr>
            <w:tr w:rsidR="00C77836" w:rsidRPr="00C77836" w:rsidTr="00A3395D">
              <w:trPr>
                <w:trHeight w:val="300"/>
              </w:trPr>
              <w:tc>
                <w:tcPr>
                  <w:tcW w:w="3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RASHODI UKUPNO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1.658.466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C77836" w:rsidRPr="00C77836" w:rsidRDefault="00307EA2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1.455.354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:rsidR="00C77836" w:rsidRPr="00C77836" w:rsidRDefault="00307EA2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1.455.354</w:t>
                  </w:r>
                </w:p>
              </w:tc>
            </w:tr>
            <w:tr w:rsidR="00C77836" w:rsidRPr="00C77836" w:rsidTr="00A3395D">
              <w:trPr>
                <w:trHeight w:val="300"/>
              </w:trPr>
              <w:tc>
                <w:tcPr>
                  <w:tcW w:w="3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RASHODI  POSLOVANJA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1.445.274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307EA2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1.442.574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836" w:rsidRPr="00C77836" w:rsidRDefault="00307EA2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1.442.574</w:t>
                  </w:r>
                </w:p>
              </w:tc>
            </w:tr>
            <w:tr w:rsidR="00C77836" w:rsidRPr="00C77836" w:rsidTr="00A3395D">
              <w:trPr>
                <w:trHeight w:val="570"/>
              </w:trPr>
              <w:tc>
                <w:tcPr>
                  <w:tcW w:w="3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RASHODI ZA NABAVU NEFINANCIJSKE IMOVINE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213.191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12.780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12.780</w:t>
                  </w:r>
                </w:p>
              </w:tc>
            </w:tr>
            <w:tr w:rsidR="00C77836" w:rsidRPr="00C77836" w:rsidTr="00A3395D">
              <w:trPr>
                <w:trHeight w:val="300"/>
              </w:trPr>
              <w:tc>
                <w:tcPr>
                  <w:tcW w:w="3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RAZLIKA - VIŠAK / MANJAK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-203.111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C77836" w:rsidRPr="00C77836" w:rsidRDefault="003066C1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C77836" w:rsidRPr="00C77836" w:rsidRDefault="003066C1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720" w:type="dxa"/>
              <w:tblLayout w:type="fixed"/>
              <w:tblLook w:val="04A0" w:firstRow="1" w:lastRow="0" w:firstColumn="1" w:lastColumn="0" w:noHBand="0" w:noVBand="1"/>
            </w:tblPr>
            <w:tblGrid>
              <w:gridCol w:w="3700"/>
              <w:gridCol w:w="1240"/>
              <w:gridCol w:w="1180"/>
              <w:gridCol w:w="1600"/>
            </w:tblGrid>
            <w:tr w:rsidR="00C77836" w:rsidRPr="00C77836" w:rsidTr="00C77836">
              <w:trPr>
                <w:trHeight w:val="510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7836" w:rsidRPr="00C77836" w:rsidRDefault="00C77836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Plan za 2023.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7836" w:rsidRPr="00C77836" w:rsidRDefault="00C77836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Projekcija </w:t>
                  </w: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za 2024.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7836" w:rsidRPr="00C77836" w:rsidRDefault="00C77836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Projekcija </w:t>
                  </w: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za 2025.</w:t>
                  </w:r>
                </w:p>
              </w:tc>
            </w:tr>
            <w:tr w:rsidR="00C77836" w:rsidRPr="00C77836" w:rsidTr="003066C1">
              <w:trPr>
                <w:trHeight w:val="555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UKUPAN DONOS VIŠKA / MANJKA IZ PRETHODNE(IH) GODINE***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203.111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77836" w:rsidRPr="00C77836" w:rsidTr="003066C1">
              <w:trPr>
                <w:trHeight w:val="525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VIŠAK  IZ PRETHODNE(IH) GODINE KOJI ĆE SE RASPOREDITI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203.111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77836" w:rsidRPr="00C77836" w:rsidTr="00C77836">
              <w:trPr>
                <w:trHeight w:val="720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77836" w:rsidRPr="00C77836" w:rsidRDefault="00C77836" w:rsidP="00C77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MANJAK IZ PRETHODNE(IH) GODINE KOJI ĆE SE  POKRITI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:rsidR="00C77836" w:rsidRPr="00C77836" w:rsidRDefault="00C77836" w:rsidP="00C7783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783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8B3" w:rsidRDefault="00EE78B3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7836" w:rsidRDefault="00C77836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7836" w:rsidRPr="00A3395D" w:rsidRDefault="00C77836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 xml:space="preserve">U 2023.godini planirano je ostvarenje </w:t>
            </w:r>
            <w:r w:rsidR="00A3395D">
              <w:rPr>
                <w:rFonts w:ascii="Arial" w:hAnsi="Arial" w:cs="Arial"/>
                <w:sz w:val="20"/>
                <w:szCs w:val="20"/>
              </w:rPr>
              <w:t xml:space="preserve">prenesenog 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viška prihoda u iznosu od 203.111eura. Taj </w:t>
            </w:r>
            <w:r w:rsidR="00A3395D">
              <w:rPr>
                <w:rFonts w:ascii="Arial" w:hAnsi="Arial" w:cs="Arial"/>
                <w:sz w:val="20"/>
                <w:szCs w:val="20"/>
              </w:rPr>
              <w:t xml:space="preserve">preneseni </w:t>
            </w:r>
            <w:r w:rsidRPr="00A3395D">
              <w:rPr>
                <w:rFonts w:ascii="Arial" w:hAnsi="Arial" w:cs="Arial"/>
                <w:sz w:val="20"/>
                <w:szCs w:val="20"/>
              </w:rPr>
              <w:t>višak prihoda odnosi se na prihod od strane pružene usluge produženog boravka u iznosu od 2700eura, te viška prihoda od prodaje nefinancijske imovine koji je r</w:t>
            </w:r>
            <w:r w:rsidR="00DA5360" w:rsidRPr="00A3395D">
              <w:rPr>
                <w:rFonts w:ascii="Arial" w:hAnsi="Arial" w:cs="Arial"/>
                <w:sz w:val="20"/>
                <w:szCs w:val="20"/>
              </w:rPr>
              <w:t>e</w:t>
            </w:r>
            <w:r w:rsidRPr="00A3395D">
              <w:rPr>
                <w:rFonts w:ascii="Arial" w:hAnsi="Arial" w:cs="Arial"/>
                <w:sz w:val="20"/>
                <w:szCs w:val="20"/>
              </w:rPr>
              <w:t>aliziran krajem  2022.godine</w:t>
            </w:r>
            <w:r w:rsidR="00A3395D">
              <w:rPr>
                <w:rFonts w:ascii="Arial" w:hAnsi="Arial" w:cs="Arial"/>
                <w:sz w:val="20"/>
                <w:szCs w:val="20"/>
              </w:rPr>
              <w:t>,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 te će biti utrošen kao preneseni višak u 2023.godini.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7836" w:rsidRPr="00A3395D" w:rsidRDefault="00C77836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836" w:rsidRDefault="00C77836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C93" w:rsidRPr="00A3395D" w:rsidRDefault="00F94C93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2342" w:rsidRPr="00A3395D" w:rsidRDefault="006B2342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1A88" w:rsidRPr="00A3395D" w:rsidRDefault="00751A88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 xml:space="preserve">Najveći dio rashoda Škole prema funkcijskoj klasifikaciji pripada funkcijskoj klasifikaciji broj 0912 Osnovno obrazovanje. U 2023. godini u odnosu na 2022.godinu očekuje se rast rashoda za indeks 113,45%, dok se u 2024.godini u odnosu na 2023. očekuje pad indeksa na </w:t>
            </w:r>
            <w:r w:rsidR="00F94C93">
              <w:rPr>
                <w:rFonts w:ascii="Arial" w:hAnsi="Arial" w:cs="Arial"/>
                <w:sz w:val="20"/>
                <w:szCs w:val="20"/>
              </w:rPr>
              <w:t>87,73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%, te u 2025.godini u odnosu na 2024. godinu očekuje se ista </w:t>
            </w:r>
            <w:r w:rsidR="006A7BF6" w:rsidRPr="00A3395D">
              <w:rPr>
                <w:rFonts w:ascii="Arial" w:hAnsi="Arial" w:cs="Arial"/>
                <w:sz w:val="20"/>
                <w:szCs w:val="20"/>
              </w:rPr>
              <w:t>vrijednost odnosno indeks 100%.</w:t>
            </w:r>
          </w:p>
          <w:p w:rsidR="006A7BF6" w:rsidRPr="00A3395D" w:rsidRDefault="006A7BF6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5D">
              <w:rPr>
                <w:rFonts w:ascii="Arial" w:hAnsi="Arial" w:cs="Arial"/>
                <w:sz w:val="20"/>
                <w:szCs w:val="20"/>
              </w:rPr>
              <w:t>Druga Funkcij</w:t>
            </w:r>
            <w:r w:rsidR="00A3395D">
              <w:rPr>
                <w:rFonts w:ascii="Arial" w:hAnsi="Arial" w:cs="Arial"/>
                <w:sz w:val="20"/>
                <w:szCs w:val="20"/>
              </w:rPr>
              <w:t>sk</w:t>
            </w:r>
            <w:r w:rsidRPr="00A3395D">
              <w:rPr>
                <w:rFonts w:ascii="Arial" w:hAnsi="Arial" w:cs="Arial"/>
                <w:sz w:val="20"/>
                <w:szCs w:val="20"/>
              </w:rPr>
              <w:t>a klasifikacija koju imamo u Školi j</w:t>
            </w:r>
            <w:r w:rsidR="00A3395D">
              <w:rPr>
                <w:rFonts w:ascii="Arial" w:hAnsi="Arial" w:cs="Arial"/>
                <w:sz w:val="20"/>
                <w:szCs w:val="20"/>
              </w:rPr>
              <w:t>e Funkcijska klasifikacija broj</w:t>
            </w:r>
            <w:r w:rsidRPr="00A3395D">
              <w:rPr>
                <w:rFonts w:ascii="Arial" w:hAnsi="Arial" w:cs="Arial"/>
                <w:sz w:val="20"/>
                <w:szCs w:val="20"/>
              </w:rPr>
              <w:t xml:space="preserve"> 0980 Usluge obrazovanja koje nisu drugdje razvrstane .Radi se o aktivnosti Obilježavanja postignuća učenika i nastavnika. U 2023.godini očekuje se porast ovih rashoda  indeks 169,69%, dok se u 2024. u odnosu na 2023. i 2025. u donosu na 2024.godinu očekuje jednaka realizacija rashoda dakle indeks 100%.</w:t>
            </w:r>
          </w:p>
          <w:p w:rsidR="006B2342" w:rsidRPr="00A3395D" w:rsidRDefault="006B2342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145E" w:rsidRDefault="0055145E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7836" w:rsidRPr="00A3395D" w:rsidRDefault="006B2342" w:rsidP="00C77836">
            <w:pPr>
              <w:jc w:val="both"/>
              <w:rPr>
                <w:rFonts w:ascii="Arial" w:hAnsi="Arial" w:cs="Arial"/>
                <w:b/>
              </w:rPr>
            </w:pPr>
            <w:r w:rsidRPr="00A3395D">
              <w:rPr>
                <w:rFonts w:ascii="Arial" w:hAnsi="Arial" w:cs="Arial"/>
                <w:b/>
              </w:rPr>
              <w:t>II.DIO FINANCIJSKOG PLANA- POSEBAN DIO</w:t>
            </w:r>
          </w:p>
          <w:p w:rsidR="00C77836" w:rsidRDefault="00C77836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7836" w:rsidRDefault="00C77836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7836" w:rsidRDefault="00C77836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2342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7836" w:rsidRDefault="00C77836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7836" w:rsidRDefault="006B2342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Poseban dio financijskog plana sadrži plan rashoda po izvorima, ekonomskoj klasifikaciji, raspoređenih u programe koji se sastoje od aktivnosti i projekata.</w:t>
            </w:r>
          </w:p>
          <w:p w:rsidR="00C77836" w:rsidRDefault="00C77836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  <w:gridCol w:w="1276"/>
              <w:gridCol w:w="1276"/>
            </w:tblGrid>
            <w:tr w:rsidR="00DD2AB5" w:rsidRPr="0007069C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OSNOVNOŠKOLSKO OBRAZOVANJE</w:t>
                  </w:r>
                  <w:r w:rsidRPr="002432F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D2AB5" w:rsidRPr="0007069C" w:rsidRDefault="00DD2AB5" w:rsidP="00DD2AB5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2023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D2AB5" w:rsidRDefault="00DD2AB5" w:rsidP="00C77836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2024.</w:t>
                  </w:r>
                </w:p>
              </w:tc>
              <w:tc>
                <w:tcPr>
                  <w:tcW w:w="1276" w:type="dxa"/>
                </w:tcPr>
                <w:p w:rsidR="00DD2AB5" w:rsidRDefault="00DD2AB5" w:rsidP="00C77836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2025.</w:t>
                  </w:r>
                </w:p>
              </w:tc>
            </w:tr>
            <w:tr w:rsidR="00DD2AB5" w:rsidRPr="00E92559" w:rsidTr="00DD2AB5">
              <w:tc>
                <w:tcPr>
                  <w:tcW w:w="556" w:type="dxa"/>
                </w:tcPr>
                <w:p w:rsidR="00DD2AB5" w:rsidRPr="001954AD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DD2AB5" w:rsidRPr="001954AD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Osiguravanje uvjeta rada</w:t>
                  </w:r>
                </w:p>
              </w:tc>
              <w:tc>
                <w:tcPr>
                  <w:tcW w:w="1276" w:type="dxa"/>
                </w:tcPr>
                <w:p w:rsidR="00DD2AB5" w:rsidRPr="00E92559" w:rsidRDefault="00090697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1.290.841</w:t>
                  </w:r>
                </w:p>
              </w:tc>
              <w:tc>
                <w:tcPr>
                  <w:tcW w:w="1276" w:type="dxa"/>
                </w:tcPr>
                <w:p w:rsidR="00DD2AB5" w:rsidRDefault="00090697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1.290.841</w:t>
                  </w:r>
                </w:p>
              </w:tc>
              <w:tc>
                <w:tcPr>
                  <w:tcW w:w="1276" w:type="dxa"/>
                </w:tcPr>
                <w:p w:rsidR="00DD2AB5" w:rsidRDefault="00090697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1.290.841</w:t>
                  </w:r>
                </w:p>
              </w:tc>
            </w:tr>
            <w:tr w:rsidR="00DD2AB5" w:rsidRPr="00E92559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Nabava udžbenika za učenike OŠ</w:t>
                  </w:r>
                </w:p>
              </w:tc>
              <w:tc>
                <w:tcPr>
                  <w:tcW w:w="1276" w:type="dxa"/>
                </w:tcPr>
                <w:p w:rsidR="00DD2AB5" w:rsidRPr="00E92559" w:rsidRDefault="00090697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22.800</w:t>
                  </w:r>
                </w:p>
              </w:tc>
              <w:tc>
                <w:tcPr>
                  <w:tcW w:w="1276" w:type="dxa"/>
                </w:tcPr>
                <w:p w:rsidR="00DD2AB5" w:rsidRDefault="00090697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22.800</w:t>
                  </w:r>
                </w:p>
              </w:tc>
              <w:tc>
                <w:tcPr>
                  <w:tcW w:w="1276" w:type="dxa"/>
                </w:tcPr>
                <w:p w:rsidR="00DD2AB5" w:rsidRDefault="00090697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22.800</w:t>
                  </w:r>
                </w:p>
              </w:tc>
            </w:tr>
            <w:tr w:rsidR="00DD2AB5" w:rsidRPr="00E92559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2AB5" w:rsidRPr="00E92559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2AB5" w:rsidRPr="00E92559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DD2AB5" w:rsidRPr="00E92559" w:rsidRDefault="00090697" w:rsidP="00EE78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1.313.641</w:t>
                  </w:r>
                </w:p>
              </w:tc>
              <w:tc>
                <w:tcPr>
                  <w:tcW w:w="1276" w:type="dxa"/>
                </w:tcPr>
                <w:p w:rsidR="00DD2AB5" w:rsidRDefault="00090697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1.313.641</w:t>
                  </w:r>
                </w:p>
              </w:tc>
              <w:tc>
                <w:tcPr>
                  <w:tcW w:w="1276" w:type="dxa"/>
                </w:tcPr>
                <w:p w:rsidR="00DD2AB5" w:rsidRDefault="00090697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1.313.641</w:t>
                  </w:r>
                </w:p>
              </w:tc>
            </w:tr>
          </w:tbl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  <w:gridCol w:w="1276"/>
              <w:gridCol w:w="1276"/>
            </w:tblGrid>
            <w:tr w:rsidR="00DD2AB5" w:rsidRPr="0007069C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UNAPREĐENJE KVALITETE ODGOJNO OBRAZOVNOG SUSTAVA</w:t>
                  </w:r>
                </w:p>
              </w:tc>
              <w:tc>
                <w:tcPr>
                  <w:tcW w:w="1276" w:type="dxa"/>
                </w:tcPr>
                <w:p w:rsidR="00DD2AB5" w:rsidRPr="0007069C" w:rsidRDefault="00DD2AB5" w:rsidP="00DD2AB5">
                  <w:pPr>
                    <w:pStyle w:val="Naslov7"/>
                    <w:rPr>
                      <w:b w:val="0"/>
                      <w:szCs w:val="18"/>
                    </w:rPr>
                  </w:pPr>
                  <w:r w:rsidRPr="0007069C">
                    <w:rPr>
                      <w:b w:val="0"/>
                      <w:szCs w:val="18"/>
                    </w:rPr>
                    <w:t>20</w:t>
                  </w:r>
                  <w:r>
                    <w:rPr>
                      <w:b w:val="0"/>
                      <w:szCs w:val="18"/>
                    </w:rPr>
                    <w:t>23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D2AB5" w:rsidRPr="0007069C" w:rsidRDefault="00DD2AB5" w:rsidP="00C77836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2024.</w:t>
                  </w:r>
                </w:p>
              </w:tc>
              <w:tc>
                <w:tcPr>
                  <w:tcW w:w="1276" w:type="dxa"/>
                </w:tcPr>
                <w:p w:rsidR="00DD2AB5" w:rsidRPr="0007069C" w:rsidRDefault="00DD2AB5" w:rsidP="00C77836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2025.</w:t>
                  </w:r>
                </w:p>
              </w:tc>
            </w:tr>
            <w:tr w:rsidR="00090697" w:rsidRPr="0007069C" w:rsidTr="00DD2AB5">
              <w:tc>
                <w:tcPr>
                  <w:tcW w:w="556" w:type="dxa"/>
                </w:tcPr>
                <w:p w:rsidR="00090697" w:rsidRPr="0007069C" w:rsidRDefault="00090697" w:rsidP="0009069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090697" w:rsidRPr="002432FB" w:rsidRDefault="00090697" w:rsidP="0009069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Produženi boravak učenika</w:t>
                  </w:r>
                </w:p>
              </w:tc>
              <w:tc>
                <w:tcPr>
                  <w:tcW w:w="1276" w:type="dxa"/>
                </w:tcPr>
                <w:p w:rsidR="00090697" w:rsidRPr="0007069C" w:rsidRDefault="00090697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113.957</w:t>
                  </w:r>
                </w:p>
              </w:tc>
              <w:tc>
                <w:tcPr>
                  <w:tcW w:w="1276" w:type="dxa"/>
                </w:tcPr>
                <w:p w:rsidR="00090697" w:rsidRPr="0007069C" w:rsidRDefault="00F94C93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111.257</w:t>
                  </w:r>
                </w:p>
              </w:tc>
              <w:tc>
                <w:tcPr>
                  <w:tcW w:w="1276" w:type="dxa"/>
                </w:tcPr>
                <w:p w:rsidR="00090697" w:rsidRPr="0007069C" w:rsidRDefault="00F94C93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111.257</w:t>
                  </w:r>
                </w:p>
              </w:tc>
            </w:tr>
            <w:tr w:rsidR="00090697" w:rsidRPr="0007069C" w:rsidTr="00DD2AB5">
              <w:tc>
                <w:tcPr>
                  <w:tcW w:w="556" w:type="dxa"/>
                </w:tcPr>
                <w:p w:rsidR="00090697" w:rsidRPr="0007069C" w:rsidRDefault="00090697" w:rsidP="0009069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090697" w:rsidRPr="0007069C" w:rsidRDefault="00090697" w:rsidP="0009069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Program školskog kurikuluma</w:t>
                  </w:r>
                </w:p>
              </w:tc>
              <w:tc>
                <w:tcPr>
                  <w:tcW w:w="1276" w:type="dxa"/>
                </w:tcPr>
                <w:p w:rsidR="00090697" w:rsidRPr="0007069C" w:rsidRDefault="00090697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5.589</w:t>
                  </w:r>
                </w:p>
              </w:tc>
              <w:tc>
                <w:tcPr>
                  <w:tcW w:w="1276" w:type="dxa"/>
                </w:tcPr>
                <w:p w:rsidR="00090697" w:rsidRPr="0007069C" w:rsidRDefault="00090697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5.589</w:t>
                  </w:r>
                </w:p>
              </w:tc>
              <w:tc>
                <w:tcPr>
                  <w:tcW w:w="1276" w:type="dxa"/>
                </w:tcPr>
                <w:p w:rsidR="00090697" w:rsidRPr="0007069C" w:rsidRDefault="00090697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5.589</w:t>
                  </w:r>
                </w:p>
              </w:tc>
            </w:tr>
            <w:tr w:rsidR="00090697" w:rsidRPr="0007069C" w:rsidTr="00DD2AB5">
              <w:tc>
                <w:tcPr>
                  <w:tcW w:w="556" w:type="dxa"/>
                </w:tcPr>
                <w:p w:rsidR="00090697" w:rsidRPr="0007069C" w:rsidRDefault="00090697" w:rsidP="0009069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91" w:type="dxa"/>
                </w:tcPr>
                <w:p w:rsidR="00090697" w:rsidRPr="0007069C" w:rsidRDefault="00090697" w:rsidP="0009069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Sufinanciranje rada pomoćnika u nastavi</w:t>
                  </w:r>
                </w:p>
              </w:tc>
              <w:tc>
                <w:tcPr>
                  <w:tcW w:w="1276" w:type="dxa"/>
                </w:tcPr>
                <w:p w:rsidR="00090697" w:rsidRPr="0007069C" w:rsidRDefault="00090697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17.461</w:t>
                  </w:r>
                </w:p>
              </w:tc>
              <w:tc>
                <w:tcPr>
                  <w:tcW w:w="1276" w:type="dxa"/>
                </w:tcPr>
                <w:p w:rsidR="00090697" w:rsidRPr="0007069C" w:rsidRDefault="00090697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17.461</w:t>
                  </w:r>
                </w:p>
              </w:tc>
              <w:tc>
                <w:tcPr>
                  <w:tcW w:w="1276" w:type="dxa"/>
                </w:tcPr>
                <w:p w:rsidR="00090697" w:rsidRPr="0007069C" w:rsidRDefault="00090697" w:rsidP="0009069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17.461</w:t>
                  </w:r>
                </w:p>
              </w:tc>
            </w:tr>
            <w:tr w:rsidR="00DD2AB5" w:rsidRPr="0007069C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07069C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07069C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07069C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2AB5" w:rsidRPr="0007069C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07069C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07069C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07069C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2AB5" w:rsidRPr="0007069C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DD2AB5" w:rsidRPr="0007069C" w:rsidRDefault="00090697" w:rsidP="00C77836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137.007</w:t>
                  </w:r>
                </w:p>
              </w:tc>
              <w:tc>
                <w:tcPr>
                  <w:tcW w:w="1276" w:type="dxa"/>
                </w:tcPr>
                <w:p w:rsidR="00DD2AB5" w:rsidRDefault="00F94C93" w:rsidP="00C77836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134.307</w:t>
                  </w:r>
                </w:p>
              </w:tc>
              <w:tc>
                <w:tcPr>
                  <w:tcW w:w="1276" w:type="dxa"/>
                </w:tcPr>
                <w:p w:rsidR="00DD2AB5" w:rsidRDefault="00F94C93" w:rsidP="00C77836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134.307</w:t>
                  </w:r>
                </w:p>
              </w:tc>
            </w:tr>
          </w:tbl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  <w:gridCol w:w="1276"/>
              <w:gridCol w:w="1276"/>
            </w:tblGrid>
            <w:tr w:rsidR="00DD2AB5" w:rsidRPr="0007069C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OBILJEŽAVANJE POSTIGNUĆA UČENIKA I NASTAVNIKA</w:t>
                  </w:r>
                </w:p>
              </w:tc>
              <w:tc>
                <w:tcPr>
                  <w:tcW w:w="1276" w:type="dxa"/>
                </w:tcPr>
                <w:p w:rsidR="00DD2AB5" w:rsidRPr="0007069C" w:rsidRDefault="00DD2AB5" w:rsidP="00DD2AB5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2023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D2AB5" w:rsidRDefault="00DD2AB5" w:rsidP="00C77836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2024.</w:t>
                  </w:r>
                </w:p>
              </w:tc>
              <w:tc>
                <w:tcPr>
                  <w:tcW w:w="1276" w:type="dxa"/>
                </w:tcPr>
                <w:p w:rsidR="00DD2AB5" w:rsidRDefault="00DD2AB5" w:rsidP="00C77836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2025.</w:t>
                  </w:r>
                </w:p>
              </w:tc>
            </w:tr>
            <w:tr w:rsidR="00010526" w:rsidRPr="00E92559" w:rsidTr="00DD2AB5">
              <w:tc>
                <w:tcPr>
                  <w:tcW w:w="556" w:type="dxa"/>
                </w:tcPr>
                <w:p w:rsidR="00010526" w:rsidRPr="001954AD" w:rsidRDefault="00010526" w:rsidP="0001052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010526" w:rsidRPr="001954AD" w:rsidRDefault="00010526" w:rsidP="0001052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Natjecanja i smotre</w:t>
                  </w:r>
                </w:p>
              </w:tc>
              <w:tc>
                <w:tcPr>
                  <w:tcW w:w="1276" w:type="dxa"/>
                </w:tcPr>
                <w:p w:rsidR="00010526" w:rsidRPr="00E92559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  <w:tc>
                <w:tcPr>
                  <w:tcW w:w="1276" w:type="dxa"/>
                </w:tcPr>
                <w:p w:rsidR="00010526" w:rsidRPr="00E92559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  <w:tc>
                <w:tcPr>
                  <w:tcW w:w="1276" w:type="dxa"/>
                </w:tcPr>
                <w:p w:rsidR="00010526" w:rsidRPr="00E92559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</w:tr>
            <w:tr w:rsidR="00DD2AB5" w:rsidRPr="00E92559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10526" w:rsidRPr="00E92559" w:rsidTr="00DD2AB5">
              <w:tc>
                <w:tcPr>
                  <w:tcW w:w="556" w:type="dxa"/>
                </w:tcPr>
                <w:p w:rsidR="00010526" w:rsidRPr="0007069C" w:rsidRDefault="00010526" w:rsidP="0001052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010526" w:rsidRPr="0007069C" w:rsidRDefault="00010526" w:rsidP="0001052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010526" w:rsidRPr="00E92559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  <w:tc>
                <w:tcPr>
                  <w:tcW w:w="1276" w:type="dxa"/>
                </w:tcPr>
                <w:p w:rsidR="00010526" w:rsidRPr="00E92559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  <w:tc>
                <w:tcPr>
                  <w:tcW w:w="1276" w:type="dxa"/>
                </w:tcPr>
                <w:p w:rsidR="00010526" w:rsidRPr="00E92559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</w:tr>
          </w:tbl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  <w:gridCol w:w="1276"/>
              <w:gridCol w:w="1276"/>
            </w:tblGrid>
            <w:tr w:rsidR="00DD2AB5" w:rsidRPr="0007069C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KAPITALNA ULAGANJA U ODGOJNO OBRAZOVNU INFRASTRUKTURU</w:t>
                  </w:r>
                </w:p>
              </w:tc>
              <w:tc>
                <w:tcPr>
                  <w:tcW w:w="1276" w:type="dxa"/>
                </w:tcPr>
                <w:p w:rsidR="00DD2AB5" w:rsidRPr="0007069C" w:rsidRDefault="00DD2AB5" w:rsidP="00DD2AB5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2023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D2AB5" w:rsidRDefault="00DD2AB5" w:rsidP="00C77836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2024.</w:t>
                  </w:r>
                </w:p>
              </w:tc>
              <w:tc>
                <w:tcPr>
                  <w:tcW w:w="1276" w:type="dxa"/>
                </w:tcPr>
                <w:p w:rsidR="00DD2AB5" w:rsidRDefault="00DD2AB5" w:rsidP="00C77836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2025.</w:t>
                  </w:r>
                </w:p>
              </w:tc>
            </w:tr>
            <w:tr w:rsidR="00DD2AB5" w:rsidRPr="00E92559" w:rsidTr="00DD2AB5">
              <w:tc>
                <w:tcPr>
                  <w:tcW w:w="556" w:type="dxa"/>
                </w:tcPr>
                <w:p w:rsidR="00DD2AB5" w:rsidRPr="001954AD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DD2AB5" w:rsidRPr="001954AD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Opremanje ustanova školstva</w:t>
                  </w:r>
                </w:p>
              </w:tc>
              <w:tc>
                <w:tcPr>
                  <w:tcW w:w="1276" w:type="dxa"/>
                </w:tcPr>
                <w:p w:rsidR="00DD2AB5" w:rsidRPr="00E92559" w:rsidRDefault="00010526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204.391</w:t>
                  </w:r>
                </w:p>
              </w:tc>
              <w:tc>
                <w:tcPr>
                  <w:tcW w:w="1276" w:type="dxa"/>
                </w:tcPr>
                <w:p w:rsidR="00DD2AB5" w:rsidRDefault="00010526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3.980</w:t>
                  </w:r>
                </w:p>
              </w:tc>
              <w:tc>
                <w:tcPr>
                  <w:tcW w:w="1276" w:type="dxa"/>
                </w:tcPr>
                <w:p w:rsidR="00DD2AB5" w:rsidRDefault="00010526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3.980</w:t>
                  </w:r>
                </w:p>
              </w:tc>
            </w:tr>
            <w:tr w:rsidR="00DD2AB5" w:rsidRPr="00E92559" w:rsidTr="00DD2AB5">
              <w:tc>
                <w:tcPr>
                  <w:tcW w:w="556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D2AB5" w:rsidRPr="0007069C" w:rsidRDefault="00DD2AB5" w:rsidP="00C7783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D2AB5" w:rsidRPr="00E92559" w:rsidRDefault="00DD2AB5" w:rsidP="00C7783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10526" w:rsidRPr="00E92559" w:rsidTr="00DD2AB5">
              <w:tc>
                <w:tcPr>
                  <w:tcW w:w="556" w:type="dxa"/>
                </w:tcPr>
                <w:p w:rsidR="00010526" w:rsidRPr="0007069C" w:rsidRDefault="00010526" w:rsidP="0001052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010526" w:rsidRPr="0007069C" w:rsidRDefault="00010526" w:rsidP="0001052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010526" w:rsidRPr="00E92559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204.391</w:t>
                  </w:r>
                </w:p>
              </w:tc>
              <w:tc>
                <w:tcPr>
                  <w:tcW w:w="1276" w:type="dxa"/>
                </w:tcPr>
                <w:p w:rsidR="00010526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3.980</w:t>
                  </w:r>
                </w:p>
              </w:tc>
              <w:tc>
                <w:tcPr>
                  <w:tcW w:w="1276" w:type="dxa"/>
                </w:tcPr>
                <w:p w:rsidR="00010526" w:rsidRDefault="00010526" w:rsidP="0001052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3.980</w:t>
                  </w:r>
                </w:p>
              </w:tc>
            </w:tr>
          </w:tbl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471" w:rsidRPr="00107F03" w:rsidRDefault="003B4471" w:rsidP="00C778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OSNOVNOŠKOLSKO OBRAZOVANJE</w:t>
            </w:r>
          </w:p>
          <w:p w:rsidR="003B4471" w:rsidRPr="00802EA9" w:rsidRDefault="003B4471" w:rsidP="00C77836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471" w:rsidRPr="008B4D82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3. Razvoj ljudskih potencijala </w:t>
            </w:r>
            <w:r>
              <w:rPr>
                <w:rFonts w:ascii="Arial" w:hAnsi="Arial" w:cs="Arial"/>
                <w:sz w:val="20"/>
                <w:szCs w:val="20"/>
              </w:rPr>
              <w:t>i povećanje kvalitete života</w:t>
            </w: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8B4D82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8B4D82" w:rsidRDefault="003B4471" w:rsidP="00C77836">
            <w:pPr>
              <w:jc w:val="both"/>
              <w:rPr>
                <w:bCs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3.1. </w:t>
            </w:r>
            <w:r>
              <w:rPr>
                <w:rFonts w:ascii="Arial" w:hAnsi="Arial" w:cs="Arial"/>
                <w:sz w:val="20"/>
                <w:szCs w:val="20"/>
              </w:rPr>
              <w:t>Unapređenje obrazovnog sustava te njegova usklađenost sa potrebama u gospodarstvu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471" w:rsidRPr="008B4D82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Osiguravanje uvjeta rada ima za cilj omogućiti  realizaciju redovnog programa odgoja i obrazovanja. Svim učenicima omogućiti stjecanje kvalitetnog obrazovanja i uspješnog razvoja potencijalnih sposobnosti pod jednakim uvjetima, te stjecanje kompetencija za cjelokupan osobni i društveni razvoj .</w:t>
            </w: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Ta aktivnost financira se iz Državnog proračuna iz sredstava pomoći  za rashode plaća djelatnicima Škole, naknadu za nezapošljavanje invalida, rad Županijskog stručnog vijeća,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nabavu 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udžbeni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ka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rashode nastale temeljem donesenih pravomoćnih presuda po tužbama zaposlenika Škole radi isplate razlike plaće po povoljnijoj osnovici za razdoblje od siječnja 2016.g. do siječnja 2017.g. , rashodi za financiranje prijevoza učenika na punktove</w:t>
            </w:r>
            <w:r w:rsidR="006735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Iz Županijskog proračuna financiraju se materijalni i financijski rashodi Škole iz djela – decentraliziranih funkcija (redovno poslovanje).</w:t>
            </w: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Iz vlastitih prihoda financiraju se rashodi za </w:t>
            </w:r>
            <w:r w:rsidR="006735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energiju za uređenje okoliša, rashode za službena putovanja, intelektualne usluge predavanja za stručno usavršavanje učitelja</w:t>
            </w:r>
            <w:r w:rsidR="005234BC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67359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reprezentacij</w:t>
            </w:r>
            <w:r w:rsidR="006735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 nagrade djelatnicima za postignute radne rezultate i rashodi za kamate iz poslovnih odnosa</w:t>
            </w:r>
          </w:p>
          <w:p w:rsidR="003B4471" w:rsidRPr="008B4D82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Iz sredstava prihoda za posebnu namjenu financira se rad školske kuhinje financirani od strane roditelja. Iz školske marende financirani su pored namirnica  i zdravstveni pregledi ,  materijal za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higijenu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plin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za potrebe kuhinje</w:t>
            </w:r>
            <w:r w:rsid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radna odjeća i obuća, te sitan inventar za potrebe kuhinje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Cilj rada školske kuhinje je pripremanje mliječnog obroka učenicima Škole.</w:t>
            </w:r>
          </w:p>
          <w:p w:rsidR="006C74F3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Iz sredstava pomoći  financiranih od strane  Jedinica lokalne i regionalne samouprave planira se financiranje   ½ radnog vremena stručnog suradnika-socijalnog pedagoga od strane jedinica lokalne samouprave (Općine Lovran, Grada Opatije i Općine Mošćenička Draga) sukladno broju učenika s njihovog područja. Zapošljavanje socijalnog pedagoga potrebno je zbog specifičnih potreba škole (prostorna organizacija, učenici-putnici, učenici iz </w:t>
            </w:r>
            <w:proofErr w:type="spellStart"/>
            <w:r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subkulturnih</w:t>
            </w:r>
            <w:proofErr w:type="spellEnd"/>
            <w:r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obitelji, veći broj učenika po prilagođenom programu, učenici smješteni u Dječjem domu) i nedostatnog stručnog osoblja. JLS- Općina Lovran u 202</w:t>
            </w:r>
            <w:r w:rsidR="006C74F3"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.godini </w:t>
            </w:r>
            <w:r w:rsidR="006C74F3"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planira</w:t>
            </w:r>
            <w:r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financirat</w:t>
            </w:r>
            <w:r w:rsidR="006C74F3"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r w:rsidR="005234B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</w:t>
            </w:r>
            <w:r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C74F3" w:rsidRPr="006C74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prijevoz učenika na izvan učioničku nastavu ,intelektualne usluge za radionice stručnog usavršavanja učitelja i učenika Škole </w:t>
            </w:r>
            <w:r w:rsidR="005234B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3B4471" w:rsidRDefault="006C74F3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r w:rsidR="003B4471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izvora Prihodi od prodaje ili zamjene nefinancijske imovine i naknada štete s naslova osiguranja planirani su u sklopu ovog programa usluge za tekuće i investicijsko ulaganje koje se odnosi na naknadu štete po naslovu osiguranja.</w:t>
            </w:r>
          </w:p>
          <w:p w:rsidR="005234BC" w:rsidRDefault="005234BC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234BC" w:rsidRDefault="005234BC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E6E39" w:rsidRPr="008B4D82" w:rsidRDefault="007E6E39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3B4471" w:rsidRPr="008B4D82" w:rsidRDefault="006C74F3" w:rsidP="00C7783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B4471">
              <w:rPr>
                <w:rFonts w:ascii="Arial" w:hAnsi="Arial" w:cs="Arial"/>
                <w:sz w:val="20"/>
                <w:szCs w:val="20"/>
              </w:rPr>
              <w:t>o</w:t>
            </w:r>
            <w:r w:rsidR="003B4471" w:rsidRPr="008B4D82">
              <w:rPr>
                <w:rFonts w:ascii="Arial" w:hAnsi="Arial" w:cs="Arial"/>
                <w:sz w:val="20"/>
                <w:szCs w:val="20"/>
              </w:rPr>
              <w:t>dredbama Zakon o odgoju i obrazovanju u osnovnoj i srednjoj školi (NN 87/08, 86/09 , 92/10, 105/10, 90/11, 5/12, 16/12, 86/12, 86/12, 126/12, 94/13, 152/14, 07/17, 68/18 , 98/19, 64/20), Zakona o ustanovama (</w:t>
            </w:r>
            <w:r w:rsidR="003B4471">
              <w:rPr>
                <w:rFonts w:ascii="Arial" w:hAnsi="Arial" w:cs="Arial"/>
                <w:sz w:val="20"/>
                <w:szCs w:val="20"/>
              </w:rPr>
              <w:t>NN</w:t>
            </w:r>
            <w:r w:rsidR="003B4471" w:rsidRPr="008B4D82">
              <w:rPr>
                <w:rFonts w:ascii="Arial" w:hAnsi="Arial" w:cs="Arial"/>
                <w:sz w:val="20"/>
                <w:szCs w:val="20"/>
              </w:rPr>
              <w:t xml:space="preserve"> 76/93, 29/97, 47/99, 35/08,127/19); Zakon o lokalnoj i područnoj (regionalnoj) samoupravi (NN 33/01, 60/01, 129/05, 109,07, 125/08, 36/09, 150/11, 144/12, 19/13, 137/15, 123/17, 98/19</w:t>
            </w:r>
            <w:r w:rsidR="003B4471">
              <w:rPr>
                <w:rFonts w:ascii="Arial" w:hAnsi="Arial" w:cs="Arial"/>
                <w:sz w:val="20"/>
                <w:szCs w:val="20"/>
              </w:rPr>
              <w:t>,144/20</w:t>
            </w:r>
            <w:r w:rsidR="003B4471" w:rsidRPr="008B4D82">
              <w:rPr>
                <w:rFonts w:ascii="Arial" w:hAnsi="Arial" w:cs="Arial"/>
                <w:sz w:val="20"/>
                <w:szCs w:val="20"/>
              </w:rPr>
              <w:t>), Državni pedagoški standard osnovnoškolskog sustava odgoja i obrazovanja (NN 63/08, 90/10), Zakon o financiranju jedinica lokalne i područne (regionalne) samouprave (NN, 127/17</w:t>
            </w:r>
            <w:r w:rsidR="003B4471">
              <w:rPr>
                <w:rFonts w:ascii="Arial" w:hAnsi="Arial" w:cs="Arial"/>
                <w:sz w:val="20"/>
                <w:szCs w:val="20"/>
              </w:rPr>
              <w:t>, 138/20</w:t>
            </w:r>
            <w:r w:rsidR="003B4471" w:rsidRPr="008B4D82">
              <w:rPr>
                <w:rFonts w:ascii="Arial" w:hAnsi="Arial" w:cs="Arial"/>
                <w:sz w:val="20"/>
                <w:szCs w:val="20"/>
              </w:rPr>
              <w:t>), Temeljni kolektivni ugovor za službenike i namještenike u javnim službama (</w:t>
            </w:r>
            <w:r w:rsidR="00C65E55">
              <w:rPr>
                <w:rFonts w:ascii="Arial" w:hAnsi="Arial" w:cs="Arial"/>
                <w:sz w:val="20"/>
                <w:szCs w:val="20"/>
              </w:rPr>
              <w:t>56/22</w:t>
            </w:r>
            <w:r w:rsidR="003B4471" w:rsidRPr="008B4D8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4471" w:rsidRPr="008B4D82" w:rsidRDefault="003B4471" w:rsidP="00C77836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lastRenderedPageBreak/>
              <w:t>-u</w:t>
            </w:r>
            <w:r w:rsidRPr="008B4D82">
              <w:rPr>
                <w:rFonts w:ascii="Arial" w:hAnsi="Arial" w:cs="Arial"/>
                <w:noProof/>
                <w:sz w:val="20"/>
                <w:szCs w:val="20"/>
              </w:rPr>
              <w:t>putama za izradu proračuna Primorsko-goranske županije za razdoblje 202</w:t>
            </w:r>
            <w:r w:rsidR="006C74F3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6C74F3">
              <w:rPr>
                <w:rFonts w:ascii="Arial" w:hAnsi="Arial" w:cs="Arial"/>
                <w:noProof/>
                <w:sz w:val="20"/>
                <w:szCs w:val="20"/>
              </w:rPr>
              <w:t>-2025.</w:t>
            </w:r>
            <w:r w:rsidRPr="008B4D82">
              <w:rPr>
                <w:rFonts w:ascii="Arial" w:hAnsi="Arial" w:cs="Arial"/>
                <w:noProof/>
                <w:sz w:val="20"/>
                <w:szCs w:val="20"/>
              </w:rPr>
              <w:t xml:space="preserve"> i dopisom Upravnog odjela za odgoj i obrazovanje;</w:t>
            </w:r>
          </w:p>
          <w:p w:rsidR="003B4471" w:rsidRPr="008B4D82" w:rsidRDefault="003B4471" w:rsidP="00C77836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 Godišnjim izvedbenim odgojno–obrazovnim planom i programom rada za školsku godinu 202</w:t>
            </w:r>
            <w:r w:rsidR="006C74F3"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>./202</w:t>
            </w:r>
            <w:r w:rsidR="006C74F3">
              <w:rPr>
                <w:rFonts w:ascii="Arial" w:hAnsi="Arial" w:cs="Arial"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4471" w:rsidRPr="008B4D82" w:rsidRDefault="003B4471" w:rsidP="00C77836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 Školskim kurikulumom Osnovne škole Viktora Cara Emina za školsku godinu 202</w:t>
            </w:r>
            <w:r w:rsidR="006C74F3"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>./202</w:t>
            </w:r>
            <w:r w:rsidR="006C74F3">
              <w:rPr>
                <w:rFonts w:ascii="Arial" w:hAnsi="Arial" w:cs="Arial"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 izradu financijskog plana ove aktivnosti korištene su smjernice dobivene od strane Ministarstva financija i Primorsko-goranske županije kao osnivača i glavnih izvora prihoda, te Ugovori o najmu školskog prostora, Odluke o sufinanciranju od strane JLS, sklopljenih Ugovora sa roditeljima za korištenje mliječnog obroka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te temeljem rezultata prethodnog rada korisnika i potreba ciljanih skupina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D34598" w:rsidRDefault="00D34598" w:rsidP="00C77836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34598" w:rsidRPr="008B4D82" w:rsidRDefault="00D34598" w:rsidP="00C77836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  <w:gridCol w:w="1276"/>
              <w:gridCol w:w="1276"/>
            </w:tblGrid>
            <w:tr w:rsidR="000E69C4" w:rsidRPr="0007069C" w:rsidTr="001123BC">
              <w:tc>
                <w:tcPr>
                  <w:tcW w:w="556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OSNOVNOŠKOLSKO OBRAZOVANJE</w:t>
                  </w:r>
                  <w:r w:rsidRPr="002432F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E69C4" w:rsidRPr="0007069C" w:rsidRDefault="000E69C4" w:rsidP="000E69C4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2023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E69C4" w:rsidRDefault="000E69C4" w:rsidP="000E69C4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2024.</w:t>
                  </w:r>
                </w:p>
              </w:tc>
              <w:tc>
                <w:tcPr>
                  <w:tcW w:w="1276" w:type="dxa"/>
                </w:tcPr>
                <w:p w:rsidR="000E69C4" w:rsidRDefault="000E69C4" w:rsidP="000E69C4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2025.</w:t>
                  </w:r>
                </w:p>
              </w:tc>
            </w:tr>
            <w:tr w:rsidR="000E69C4" w:rsidRPr="00E92559" w:rsidTr="001123BC">
              <w:tc>
                <w:tcPr>
                  <w:tcW w:w="556" w:type="dxa"/>
                </w:tcPr>
                <w:p w:rsidR="000E69C4" w:rsidRPr="001954AD" w:rsidRDefault="000E69C4" w:rsidP="000E6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0E69C4" w:rsidRPr="001954AD" w:rsidRDefault="000E69C4" w:rsidP="000E6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Osiguravanje uvjeta rada</w:t>
                  </w: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1.290.841</w:t>
                  </w:r>
                </w:p>
              </w:tc>
              <w:tc>
                <w:tcPr>
                  <w:tcW w:w="1276" w:type="dxa"/>
                </w:tcPr>
                <w:p w:rsidR="000E69C4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1.290.841</w:t>
                  </w:r>
                </w:p>
              </w:tc>
              <w:tc>
                <w:tcPr>
                  <w:tcW w:w="1276" w:type="dxa"/>
                </w:tcPr>
                <w:p w:rsidR="000E69C4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1.290.841</w:t>
                  </w:r>
                </w:p>
              </w:tc>
            </w:tr>
            <w:tr w:rsidR="000E69C4" w:rsidRPr="00E92559" w:rsidTr="001123BC">
              <w:tc>
                <w:tcPr>
                  <w:tcW w:w="556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Nabava udžbenika za učenike OŠ</w:t>
                  </w: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22.800</w:t>
                  </w:r>
                </w:p>
              </w:tc>
              <w:tc>
                <w:tcPr>
                  <w:tcW w:w="1276" w:type="dxa"/>
                </w:tcPr>
                <w:p w:rsidR="000E69C4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22.800</w:t>
                  </w:r>
                </w:p>
              </w:tc>
              <w:tc>
                <w:tcPr>
                  <w:tcW w:w="1276" w:type="dxa"/>
                </w:tcPr>
                <w:p w:rsidR="000E69C4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22.800</w:t>
                  </w:r>
                </w:p>
              </w:tc>
            </w:tr>
            <w:tr w:rsidR="000E69C4" w:rsidRPr="00E92559" w:rsidTr="001123BC">
              <w:tc>
                <w:tcPr>
                  <w:tcW w:w="556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E69C4" w:rsidRPr="00E92559" w:rsidTr="001123BC">
              <w:tc>
                <w:tcPr>
                  <w:tcW w:w="556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E69C4" w:rsidRPr="00E92559" w:rsidTr="001123BC">
              <w:tc>
                <w:tcPr>
                  <w:tcW w:w="556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0E69C4" w:rsidRPr="0007069C" w:rsidRDefault="000E69C4" w:rsidP="000E69C4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0E69C4" w:rsidRPr="00E92559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1.313.641</w:t>
                  </w:r>
                </w:p>
              </w:tc>
              <w:tc>
                <w:tcPr>
                  <w:tcW w:w="1276" w:type="dxa"/>
                </w:tcPr>
                <w:p w:rsidR="000E69C4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1.313.641</w:t>
                  </w:r>
                </w:p>
              </w:tc>
              <w:tc>
                <w:tcPr>
                  <w:tcW w:w="1276" w:type="dxa"/>
                </w:tcPr>
                <w:p w:rsidR="000E69C4" w:rsidRDefault="000E69C4" w:rsidP="000E69C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1.313.641</w:t>
                  </w:r>
                </w:p>
              </w:tc>
            </w:tr>
          </w:tbl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0E69C4" w:rsidRDefault="000E69C4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Pr="005234BC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5234BC">
              <w:rPr>
                <w:b w:val="0"/>
              </w:rPr>
              <w:t xml:space="preserve">Svi rashodi i prihodi  poslovanja za program Osiguranje uvjeta rada po svim izvorima financiranja usklađeni su sa stvarnim potrebama poslovanja te Odlukama i Ugovorima </w:t>
            </w:r>
            <w:r w:rsidR="000E69C4" w:rsidRPr="005234BC">
              <w:rPr>
                <w:b w:val="0"/>
              </w:rPr>
              <w:t>koje škola trenutno ima</w:t>
            </w:r>
            <w:r w:rsidR="005234BC" w:rsidRPr="005234BC">
              <w:rPr>
                <w:b w:val="0"/>
              </w:rPr>
              <w:t>,</w:t>
            </w:r>
            <w:r w:rsidR="000E69C4" w:rsidRPr="005234BC">
              <w:rPr>
                <w:b w:val="0"/>
              </w:rPr>
              <w:t xml:space="preserve"> a odnose se na </w:t>
            </w:r>
            <w:r w:rsidRPr="005234BC">
              <w:rPr>
                <w:b w:val="0"/>
              </w:rPr>
              <w:t xml:space="preserve"> promatrano razdoblje.</w:t>
            </w:r>
          </w:p>
          <w:p w:rsidR="003B4471" w:rsidRPr="005234BC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5234BC">
              <w:rPr>
                <w:b w:val="0"/>
              </w:rPr>
              <w:t>U djelu rashoda koji se financiraju iz izvora Vlastiti prihodi očekuje se povećanje iz razloga inflacije zbog kojeg je došlo do povećanja cijena</w:t>
            </w:r>
            <w:r w:rsidR="005234BC">
              <w:rPr>
                <w:b w:val="0"/>
              </w:rPr>
              <w:t>,</w:t>
            </w:r>
            <w:r w:rsidRPr="005234BC">
              <w:rPr>
                <w:b w:val="0"/>
              </w:rPr>
              <w:t xml:space="preserve"> a time i povećanja rashoda u 2023.godini u odnosu na 2022.godinu. Što se tiče projekcija 2024. u odnosu na 2023. i 2025. godina u odnosu na 2024. godinu očekuje se jednaka realizacija rashoda za ovaj program po ovom izvoru financiranja.</w:t>
            </w:r>
          </w:p>
          <w:p w:rsidR="00D34598" w:rsidRPr="005234BC" w:rsidRDefault="00D34598" w:rsidP="00D34598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5234BC">
              <w:rPr>
                <w:b w:val="0"/>
              </w:rPr>
              <w:t>Iz izvora Prihodi za posebne namjene također se očekuje povećanje rashoda po ovom izvoru financiranja ne samo zbog porasta cijene života već i zbog povećano broja sklopljenih Ugovora u školskoj godini 2022./2023. za korištenje usluge izrade školske marende čime su se povećali rashodi u tom dijeli programa i po tom izvoru financiranja (školska kuhinja). Što se tiče projekcija 2024. u odnosu na 2023. i 2025. godina u odnosu na 2024. godinu očekuje se jednaka realizacija rashoda za ovaj program po ovom izvoru financiranja.</w:t>
            </w:r>
          </w:p>
          <w:p w:rsidR="00D34598" w:rsidRPr="005234BC" w:rsidRDefault="005234BC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>
              <w:rPr>
                <w:b w:val="0"/>
              </w:rPr>
              <w:t>Izvor financiranja P</w:t>
            </w:r>
            <w:r w:rsidR="00D34598" w:rsidRPr="005234BC">
              <w:rPr>
                <w:b w:val="0"/>
              </w:rPr>
              <w:t>rimorsko</w:t>
            </w:r>
            <w:r>
              <w:rPr>
                <w:b w:val="0"/>
              </w:rPr>
              <w:t>-</w:t>
            </w:r>
            <w:r w:rsidR="00D34598" w:rsidRPr="005234BC">
              <w:rPr>
                <w:b w:val="0"/>
              </w:rPr>
              <w:t>goransk</w:t>
            </w:r>
            <w:r>
              <w:rPr>
                <w:b w:val="0"/>
              </w:rPr>
              <w:t>e</w:t>
            </w:r>
            <w:r w:rsidR="00D34598" w:rsidRPr="005234BC">
              <w:rPr>
                <w:b w:val="0"/>
              </w:rPr>
              <w:t xml:space="preserve"> županij</w:t>
            </w:r>
            <w:r>
              <w:rPr>
                <w:b w:val="0"/>
              </w:rPr>
              <w:t>e</w:t>
            </w:r>
            <w:r w:rsidR="00D34598" w:rsidRPr="005234BC">
              <w:rPr>
                <w:b w:val="0"/>
              </w:rPr>
              <w:t xml:space="preserve"> za prihode decentraliziranih funkcija očekujemo u 2023.godini jednake rashode i prihode u odnosu na 2022. godinu, a tako se ništa ne mijenja ni u projekcijama 2024. i 2025. godine u odnosu na prethodnu.</w:t>
            </w:r>
          </w:p>
          <w:p w:rsidR="00D34598" w:rsidRPr="005234BC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34598" w:rsidRDefault="00D34598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tbl>
            <w:tblPr>
              <w:tblW w:w="7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953"/>
              <w:gridCol w:w="982"/>
              <w:gridCol w:w="992"/>
              <w:gridCol w:w="992"/>
              <w:gridCol w:w="992"/>
            </w:tblGrid>
            <w:tr w:rsidR="00D34598" w:rsidRPr="009B2037" w:rsidTr="00D34598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D34598" w:rsidRPr="009B2037" w:rsidRDefault="00D34598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D34598" w:rsidRPr="009B2037" w:rsidRDefault="00D34598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53" w:type="dxa"/>
                  <w:vAlign w:val="center"/>
                </w:tcPr>
                <w:p w:rsidR="00D34598" w:rsidRPr="009B2037" w:rsidRDefault="00D34598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82" w:type="dxa"/>
                  <w:vAlign w:val="center"/>
                </w:tcPr>
                <w:p w:rsidR="00D34598" w:rsidRPr="009B2037" w:rsidRDefault="00D34598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D34598" w:rsidRPr="009B2037" w:rsidRDefault="00D34598" w:rsidP="00C778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:rsidR="00D34598" w:rsidRPr="009B2037" w:rsidRDefault="00D34598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D34598" w:rsidRPr="009B2037" w:rsidRDefault="00D34598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D34598" w:rsidRPr="009B2037" w:rsidRDefault="00D34598" w:rsidP="00D34598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23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34598" w:rsidRPr="009B2037" w:rsidRDefault="00D34598" w:rsidP="00D34598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D34598" w:rsidRPr="009B2037" w:rsidRDefault="00D34598" w:rsidP="00D34598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D34598" w:rsidRPr="009B2037" w:rsidRDefault="00D34598" w:rsidP="00D34598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34598" w:rsidRPr="009B2037" w:rsidRDefault="00D34598" w:rsidP="00D34598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D34598" w:rsidRPr="009B2037" w:rsidRDefault="00D34598" w:rsidP="00D34598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D34598" w:rsidRPr="009B2037" w:rsidRDefault="00D34598" w:rsidP="00D34598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25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D34598" w:rsidRPr="007E7396" w:rsidTr="00D34598">
              <w:trPr>
                <w:trHeight w:val="151"/>
              </w:trPr>
              <w:tc>
                <w:tcPr>
                  <w:tcW w:w="1252" w:type="dxa"/>
                </w:tcPr>
                <w:p w:rsidR="00D34598" w:rsidRPr="007E7396" w:rsidRDefault="00D34598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Realizacija nastavnog plana i programa škole</w:t>
                  </w:r>
                </w:p>
              </w:tc>
              <w:tc>
                <w:tcPr>
                  <w:tcW w:w="952" w:type="dxa"/>
                </w:tcPr>
                <w:p w:rsidR="00D34598" w:rsidRPr="007E7396" w:rsidRDefault="00D34598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Omogućiti financiranje redovne nastave i realizacije nastavnog procesa prema planu i programu rada ustanove kako bi se zadržao što bolji standard realizacije odgojno obrazovnog procesa.</w:t>
                  </w:r>
                </w:p>
              </w:tc>
              <w:tc>
                <w:tcPr>
                  <w:tcW w:w="953" w:type="dxa"/>
                </w:tcPr>
                <w:p w:rsidR="00D34598" w:rsidRPr="007E7396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%plan</w:t>
                  </w:r>
                </w:p>
              </w:tc>
              <w:tc>
                <w:tcPr>
                  <w:tcW w:w="982" w:type="dxa"/>
                </w:tcPr>
                <w:p w:rsidR="00D34598" w:rsidRPr="007E7396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90</w:t>
                  </w: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D34598" w:rsidRPr="007E7396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95</w:t>
                  </w: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D34598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96%</w:t>
                  </w:r>
                </w:p>
              </w:tc>
              <w:tc>
                <w:tcPr>
                  <w:tcW w:w="992" w:type="dxa"/>
                </w:tcPr>
                <w:p w:rsidR="00D34598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98%</w:t>
                  </w:r>
                </w:p>
              </w:tc>
            </w:tr>
            <w:tr w:rsidR="00D34598" w:rsidRPr="007E7396" w:rsidTr="00D34598">
              <w:trPr>
                <w:trHeight w:val="960"/>
              </w:trPr>
              <w:tc>
                <w:tcPr>
                  <w:tcW w:w="1252" w:type="dxa"/>
                </w:tcPr>
                <w:p w:rsidR="00D34598" w:rsidRPr="007E7396" w:rsidRDefault="00D34598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Povećanje broja učenika uključenih u prehranu putem obroka školske kuhinje</w:t>
                  </w:r>
                </w:p>
              </w:tc>
              <w:tc>
                <w:tcPr>
                  <w:tcW w:w="952" w:type="dxa"/>
                </w:tcPr>
                <w:p w:rsidR="00D34598" w:rsidRPr="007E7396" w:rsidRDefault="00D34598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Organiziranim obrocima školske marende osigurati učenicima redovitu i pravilnu prehranu za vrijeme boravka u školi</w:t>
                  </w:r>
                </w:p>
              </w:tc>
              <w:tc>
                <w:tcPr>
                  <w:tcW w:w="953" w:type="dxa"/>
                </w:tcPr>
                <w:p w:rsidR="00D34598" w:rsidRPr="007E7396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%plan</w:t>
                  </w:r>
                </w:p>
              </w:tc>
              <w:tc>
                <w:tcPr>
                  <w:tcW w:w="982" w:type="dxa"/>
                </w:tcPr>
                <w:p w:rsidR="00D34598" w:rsidRPr="007E7396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70%</w:t>
                  </w:r>
                </w:p>
              </w:tc>
              <w:tc>
                <w:tcPr>
                  <w:tcW w:w="992" w:type="dxa"/>
                </w:tcPr>
                <w:p w:rsidR="00D34598" w:rsidRPr="007E7396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80%</w:t>
                  </w:r>
                </w:p>
              </w:tc>
              <w:tc>
                <w:tcPr>
                  <w:tcW w:w="992" w:type="dxa"/>
                </w:tcPr>
                <w:p w:rsidR="00D34598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90%</w:t>
                  </w:r>
                </w:p>
              </w:tc>
              <w:tc>
                <w:tcPr>
                  <w:tcW w:w="992" w:type="dxa"/>
                </w:tcPr>
                <w:p w:rsidR="00D34598" w:rsidRDefault="00D34598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96%</w:t>
                  </w:r>
                </w:p>
              </w:tc>
            </w:tr>
          </w:tbl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Pr="0007069C" w:rsidRDefault="003B4471" w:rsidP="00C7783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</w:tc>
      </w:tr>
      <w:tr w:rsidR="003B4471" w:rsidRPr="0015726F" w:rsidTr="00C77836">
        <w:trPr>
          <w:trHeight w:val="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471" w:rsidRPr="006229DB" w:rsidRDefault="003B4471" w:rsidP="00C77836">
            <w:pPr>
              <w:pStyle w:val="Naslov1"/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73EE" w:rsidRDefault="00C273EE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73EE" w:rsidRDefault="00C273EE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E82" w:rsidRPr="00802EA9" w:rsidRDefault="00B46E82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pStyle w:val="Naslov1"/>
              <w:framePr w:hSpace="180" w:wrap="around" w:vAnchor="text" w:hAnchor="page" w:x="1601" w:y="-485"/>
              <w:rPr>
                <w:sz w:val="18"/>
                <w:szCs w:val="18"/>
              </w:rPr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C273EE" w:rsidRDefault="00C273EE" w:rsidP="00C77836">
            <w:pPr>
              <w:framePr w:hSpace="180" w:wrap="around" w:vAnchor="text" w:hAnchor="page" w:x="1601" w:y="-485"/>
            </w:pPr>
          </w:p>
          <w:p w:rsidR="00C273EE" w:rsidRDefault="00C273EE" w:rsidP="00C77836">
            <w:pPr>
              <w:framePr w:hSpace="180" w:wrap="around" w:vAnchor="text" w:hAnchor="page" w:x="1601" w:y="-485"/>
            </w:pPr>
          </w:p>
          <w:p w:rsidR="00C273EE" w:rsidRDefault="00C273EE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framePr w:hSpace="180" w:wrap="around" w:vAnchor="text" w:hAnchor="page" w:x="1601" w:y="-485"/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SHODIŠTE I POKAZATELJI NA KOJIMA SE ZASNIVAJU IZRAČUNI I OCJENE POTREBNIH SREDSTAVA: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AZLOG ODSTUPANJA OD PROŠLOGODI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NJIH PROJEKCIJA: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1DB3" w:rsidRDefault="00611DB3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6229DB" w:rsidRDefault="003B4471" w:rsidP="00C77836">
            <w:pPr>
              <w:pStyle w:val="Naslov1"/>
            </w:pPr>
            <w:r w:rsidRPr="00802EA9">
              <w:rPr>
                <w:sz w:val="18"/>
                <w:szCs w:val="18"/>
              </w:rPr>
              <w:t>NAZIV PROGRAMA: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POVEZANOST PROGRAMA SA STRATEŠKIM DOKUMENTIMA: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NAČIN I SREDSTVA ZA REALIZACIJU PROGRAMA:</w:t>
            </w: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pStyle w:val="Naslov1"/>
              <w:rPr>
                <w:b w:val="0"/>
                <w:sz w:val="18"/>
                <w:szCs w:val="18"/>
              </w:rPr>
            </w:pPr>
          </w:p>
          <w:p w:rsidR="003B4471" w:rsidRDefault="003B4471" w:rsidP="00C77836"/>
          <w:p w:rsidR="003B4471" w:rsidRDefault="003B4471" w:rsidP="00C77836"/>
          <w:p w:rsidR="003B4471" w:rsidRDefault="003B4471" w:rsidP="00C77836"/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AZLOG ODSTUPANJA OD PROŠLOGODI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NJIH PROJEKCIJA: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3B4471" w:rsidRDefault="003B4471" w:rsidP="00C77836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C77836"/>
          <w:p w:rsidR="003B4471" w:rsidRDefault="003B4471" w:rsidP="00C77836"/>
          <w:p w:rsidR="003B4471" w:rsidRDefault="003B4471" w:rsidP="00C77836"/>
          <w:p w:rsidR="003B4471" w:rsidRDefault="003B4471" w:rsidP="00C77836"/>
          <w:p w:rsidR="003B4471" w:rsidRDefault="003B4471" w:rsidP="00C77836"/>
          <w:p w:rsidR="00611DB3" w:rsidRDefault="00611DB3" w:rsidP="00C77836"/>
          <w:p w:rsidR="00611DB3" w:rsidRDefault="00611DB3" w:rsidP="003B4471">
            <w:pPr>
              <w:keepNext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POVEZANOST PROGRAMA SA STRATEŠKIM DOKUMENTIMA: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4CA5" w:rsidRDefault="00574CA5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79BD" w:rsidRDefault="00B979BD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79BD" w:rsidRDefault="00B979BD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79BD" w:rsidRDefault="00B979BD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79BD" w:rsidRPr="003B4471" w:rsidRDefault="00B979BD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C77836"/>
          <w:p w:rsidR="003B4471" w:rsidRDefault="003B4471" w:rsidP="00C77836"/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PROŠLOGODIŠNJIH PROJEKCIJA: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058C" w:rsidRDefault="00B9058C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058C" w:rsidRDefault="00B9058C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058C" w:rsidRDefault="00B9058C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058C" w:rsidRDefault="00B9058C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058C" w:rsidRDefault="00B9058C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058C" w:rsidRPr="003B4471" w:rsidRDefault="00B9058C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D124BD" w:rsidRDefault="003B4471" w:rsidP="00C77836"/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4471" w:rsidRPr="0007069C" w:rsidRDefault="003B4471" w:rsidP="00C77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471" w:rsidRDefault="003B4471" w:rsidP="00C778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UNAPREĐENJE KVALITETE ODGOJNO OBRAZOVNOG SUSTAVA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OSNOVNA ŠKOLA VIKTORA CARA EMINA LOVRAN</w:t>
            </w:r>
          </w:p>
          <w:p w:rsidR="003B4471" w:rsidRDefault="003B4471" w:rsidP="00C778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471" w:rsidRPr="00802EA9" w:rsidRDefault="003B4471" w:rsidP="00C77836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471" w:rsidRPr="008B4D82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3. Razvoj ljudskih potencijala </w:t>
            </w:r>
            <w:r>
              <w:rPr>
                <w:rFonts w:ascii="Arial" w:hAnsi="Arial" w:cs="Arial"/>
                <w:sz w:val="20"/>
                <w:szCs w:val="20"/>
              </w:rPr>
              <w:t>i povećanje kvalitete života</w:t>
            </w:r>
          </w:p>
          <w:p w:rsidR="003B4471" w:rsidRPr="008B4D82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8B4D82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3.1. Razvoj svih razina i oblika obrazovanja </w:t>
            </w:r>
          </w:p>
          <w:p w:rsidR="003B4471" w:rsidRPr="008B4D82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Omogućiti stjecanje znanja i vještina učenika prema njihovim potrebama i interesima.</w:t>
            </w:r>
            <w:r w:rsidRPr="008B4D82">
              <w:rPr>
                <w:sz w:val="20"/>
                <w:szCs w:val="20"/>
              </w:rPr>
              <w:t xml:space="preserve"> 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Zadovoljiti specifične potrebe pojedinih grupacija učenika (s teškoćama, darovitih, učenika-putnika), poboljšati uvijete rada i unapređenje odvijanja odgojno obrazovnog procesa u školi, društveno promovirati djelatnost, poboljšati prostorne uvjete rada. </w:t>
            </w: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EB763C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b/>
                <w:sz w:val="20"/>
                <w:szCs w:val="20"/>
              </w:rPr>
              <w:t>Produženi boravak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 organiziran je u sklopu Matične škole Viktora Cara Emina u  Lovranu,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te u sklopu područne škole Eugen Kumičić u </w:t>
            </w:r>
            <w:proofErr w:type="spellStart"/>
            <w:r w:rsidRPr="00EB763C">
              <w:rPr>
                <w:rFonts w:ascii="Arial" w:hAnsi="Arial" w:cs="Arial"/>
                <w:sz w:val="20"/>
                <w:szCs w:val="20"/>
              </w:rPr>
              <w:t>Mošćeničkoj</w:t>
            </w:r>
            <w:proofErr w:type="spellEnd"/>
            <w:r w:rsidRPr="00EB763C">
              <w:rPr>
                <w:rFonts w:ascii="Arial" w:hAnsi="Arial" w:cs="Arial"/>
                <w:sz w:val="20"/>
                <w:szCs w:val="20"/>
              </w:rPr>
              <w:t xml:space="preserve"> Dragi.</w:t>
            </w:r>
          </w:p>
          <w:p w:rsidR="00C273EE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>Produženi boravak u Matičnoj školi i u Područnoj Školi   financirat  će se iz proračuna  JLS  i roditelja učenika. Rad produženog boravka ima za cilj  olakšati roditeljima zbrinjavanje učenika  u vrijeme poslije nastave kada roditelji rade</w:t>
            </w:r>
            <w:r w:rsidR="00F057C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273EE" w:rsidRDefault="00C273EE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EB763C" w:rsidRDefault="003B4471" w:rsidP="00C778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63C">
              <w:rPr>
                <w:rFonts w:ascii="Arial" w:hAnsi="Arial" w:cs="Arial"/>
                <w:b/>
                <w:sz w:val="20"/>
                <w:szCs w:val="20"/>
              </w:rPr>
              <w:t>Sufinanciranje pomoćnika u nastavi</w:t>
            </w:r>
          </w:p>
          <w:p w:rsidR="003B4471" w:rsidRPr="00EB763C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>Odnosi se na financiranje asistenata u nastavi za učenike sa poteškoćama u razvoju</w:t>
            </w: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>kojima je pomoć u nastavi prijeko potrebna. Program se financira iz sredstava  Županijskog proračuna .</w:t>
            </w:r>
          </w:p>
          <w:p w:rsidR="003B4471" w:rsidRPr="00EB763C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EB763C" w:rsidRDefault="003B4471" w:rsidP="00C778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63C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B763C">
              <w:rPr>
                <w:rFonts w:ascii="Arial" w:hAnsi="Arial" w:cs="Arial"/>
                <w:b/>
                <w:sz w:val="20"/>
                <w:szCs w:val="20"/>
              </w:rPr>
              <w:t>ogram školskog kurikuluma</w:t>
            </w: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 xml:space="preserve">Odnosi se na program financiranja unapređenje odvijanja odgojno obrazovnog  procesa u školi, omogućivanje stjecanja znanja i vještina učenicima prema njihovim potrebama i interesima. Ovim se programom financira rad Školskog sportskog kluba, različite kreativne radionice, projekti, </w:t>
            </w:r>
            <w:r w:rsidR="00C273E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aktivnosti iz Kurikuluma Š</w:t>
            </w:r>
            <w:r w:rsidRPr="00EB763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kole (rad s učenicima sa drugačijim potrebama, rad sa darovitim učenicima, rad Dječjeg zbora Lovranske </w:t>
            </w:r>
            <w:proofErr w:type="spellStart"/>
            <w:r w:rsidRPr="00EB763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črešnjice</w:t>
            </w:r>
            <w:proofErr w:type="spellEnd"/>
            <w:r w:rsidRPr="00EB763C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EB763C">
              <w:rPr>
                <w:rFonts w:ascii="Arial" w:hAnsi="Arial" w:cs="Arial"/>
                <w:sz w:val="20"/>
                <w:szCs w:val="20"/>
              </w:rPr>
              <w:t>. Sredstva se financiraju dijelom iz Županijskog proračuna, djelom iz proračuna JLS.</w:t>
            </w:r>
            <w:r w:rsidR="00B46E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73EE" w:rsidRDefault="00C273EE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3EE" w:rsidRDefault="00C273EE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8B4D82" w:rsidRDefault="003B4471" w:rsidP="00C7783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i/>
                <w:sz w:val="20"/>
                <w:szCs w:val="20"/>
              </w:rPr>
              <w:t>-</w:t>
            </w:r>
            <w:r w:rsidRPr="008B4D82">
              <w:rPr>
                <w:rFonts w:ascii="Arial" w:hAnsi="Arial" w:cs="Arial"/>
                <w:sz w:val="20"/>
                <w:szCs w:val="20"/>
              </w:rPr>
              <w:t>odredbama Zakon o odgoju i obrazovanju u osnovnoj i srednjoj školi (NN 87/08, 86/09 , 92/10, 105/10, 90/11, 5/12, 16/12, 86/12, 86/12, 126/12, 94/13, 152/14, 07/17, 68/18, 98/19, 64/20), Zakona o ustanovama (Narodne novine, broj 76/93, 29/97, 47/99, 35/08, 127/19); Zakon o lokalnoj i područnoj (regionalnoj) samoupravi (NN 33/01, 60/01, 129/05, 109,07, 125/08, 36/09, 150/11, 144/12, 19/13, 137/15, 123/17, 98/19</w:t>
            </w:r>
            <w:r>
              <w:rPr>
                <w:rFonts w:ascii="Arial" w:hAnsi="Arial" w:cs="Arial"/>
                <w:sz w:val="20"/>
                <w:szCs w:val="20"/>
              </w:rPr>
              <w:t>,144/20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Državni pedagoški standard osnovnoškolskog sustava odgoja i obrazovanja (NN 63/08, 90/10), Zakon o financiranju jedinica lokalne i područne (regionalne) samouprave (NN 127/17</w:t>
            </w:r>
            <w:r>
              <w:rPr>
                <w:rFonts w:ascii="Arial" w:hAnsi="Arial" w:cs="Arial"/>
                <w:sz w:val="20"/>
                <w:szCs w:val="20"/>
              </w:rPr>
              <w:t>, 138/20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Temeljni kolektivni ugovor za službenike i namještenike u javnim službama (</w:t>
            </w:r>
            <w:r w:rsidR="00C65E55">
              <w:rPr>
                <w:rFonts w:ascii="Arial" w:hAnsi="Arial" w:cs="Arial"/>
                <w:sz w:val="20"/>
                <w:szCs w:val="20"/>
              </w:rPr>
              <w:t>56/22</w:t>
            </w:r>
            <w:r w:rsidRPr="008B4D8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C273EE" w:rsidRPr="008B4D82" w:rsidRDefault="003B4471" w:rsidP="00C273EE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</w:t>
            </w:r>
            <w:r w:rsidR="00C273EE" w:rsidRPr="008B4D82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C273EE" w:rsidRPr="008B4D82">
              <w:rPr>
                <w:rFonts w:ascii="Arial" w:hAnsi="Arial" w:cs="Arial"/>
                <w:noProof/>
                <w:sz w:val="20"/>
                <w:szCs w:val="20"/>
              </w:rPr>
              <w:t>putama za izradu proračuna Primorsko-goranske županije za razdoblje 202</w:t>
            </w:r>
            <w:r w:rsidR="00C273EE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C273EE" w:rsidRPr="008B4D82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C273EE">
              <w:rPr>
                <w:rFonts w:ascii="Arial" w:hAnsi="Arial" w:cs="Arial"/>
                <w:noProof/>
                <w:sz w:val="20"/>
                <w:szCs w:val="20"/>
              </w:rPr>
              <w:t>-2025.</w:t>
            </w:r>
            <w:r w:rsidR="00C273EE" w:rsidRPr="008B4D82">
              <w:rPr>
                <w:rFonts w:ascii="Arial" w:hAnsi="Arial" w:cs="Arial"/>
                <w:noProof/>
                <w:sz w:val="20"/>
                <w:szCs w:val="20"/>
              </w:rPr>
              <w:t xml:space="preserve"> i dopisom Upravnog odjela za odgoj i obrazovanje;</w:t>
            </w:r>
          </w:p>
          <w:p w:rsidR="00C273EE" w:rsidRPr="008B4D82" w:rsidRDefault="00C273EE" w:rsidP="00C273E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 Godišnjim izvedbenim odgojno–obrazovnim planom i programom rada za školsku godinu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>./202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73EE" w:rsidRPr="008B4D82" w:rsidRDefault="00C273EE" w:rsidP="00C273E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 Školskim kurikulumom Osnovne škole Viktora Cara Emina za školsku godinu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>./202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B4471" w:rsidRDefault="003B4471" w:rsidP="00C7783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3EE" w:rsidRDefault="00C273EE" w:rsidP="00C7783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3EE" w:rsidRDefault="00C273EE" w:rsidP="00C7783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DB3" w:rsidRDefault="00611DB3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BB" w:rsidRDefault="004B0ABB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BB" w:rsidRDefault="004B0ABB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Osnova za izračun i ocjenu potrebnih sredstava temelji se na ostvar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nim troškovima iz prethodnih godina, potrebe ciljanih skupina, sklopljenih Ugovora za korištenje usluge  produženog boravka, sklopljenih Ugovora o financiranju sa JLS temeljem </w:t>
            </w:r>
            <w:r>
              <w:rPr>
                <w:rFonts w:ascii="Arial" w:hAnsi="Arial" w:cs="Arial"/>
                <w:sz w:val="20"/>
                <w:szCs w:val="20"/>
              </w:rPr>
              <w:t>usvojenog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Plana rada Ustanove,  i Odluke o   kriterijima, mjerilima i načinu financiranja minimalnog financijskog standarda za decentralizirane funkcije osnovnog školstva u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:rsidR="003B4471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  <w:gridCol w:w="1276"/>
              <w:gridCol w:w="1276"/>
            </w:tblGrid>
            <w:tr w:rsidR="00C273EE" w:rsidRPr="0007069C" w:rsidTr="001123BC">
              <w:tc>
                <w:tcPr>
                  <w:tcW w:w="556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UNAPREĐENJE KVALITETE ODGOJNO OBRAZOVNOG SUSTAVA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pStyle w:val="Naslov7"/>
                    <w:rPr>
                      <w:b w:val="0"/>
                      <w:szCs w:val="18"/>
                    </w:rPr>
                  </w:pPr>
                  <w:r w:rsidRPr="0007069C">
                    <w:rPr>
                      <w:b w:val="0"/>
                      <w:szCs w:val="18"/>
                    </w:rPr>
                    <w:t>20</w:t>
                  </w:r>
                  <w:r>
                    <w:rPr>
                      <w:b w:val="0"/>
                      <w:szCs w:val="18"/>
                    </w:rPr>
                    <w:t>23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2024.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2025.</w:t>
                  </w:r>
                </w:p>
              </w:tc>
            </w:tr>
            <w:tr w:rsidR="00C273EE" w:rsidRPr="0007069C" w:rsidTr="001123BC">
              <w:tc>
                <w:tcPr>
                  <w:tcW w:w="556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C273EE" w:rsidRPr="002432FB" w:rsidRDefault="00C273EE" w:rsidP="00C273E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Produženi boravak učenika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113.957</w:t>
                  </w:r>
                </w:p>
              </w:tc>
              <w:tc>
                <w:tcPr>
                  <w:tcW w:w="1276" w:type="dxa"/>
                </w:tcPr>
                <w:p w:rsidR="00C273EE" w:rsidRPr="0007069C" w:rsidRDefault="0058089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111.257</w:t>
                  </w:r>
                </w:p>
              </w:tc>
              <w:tc>
                <w:tcPr>
                  <w:tcW w:w="1276" w:type="dxa"/>
                </w:tcPr>
                <w:p w:rsidR="00C273EE" w:rsidRPr="0007069C" w:rsidRDefault="0058089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111.257</w:t>
                  </w:r>
                </w:p>
              </w:tc>
            </w:tr>
            <w:tr w:rsidR="00C273EE" w:rsidRPr="0007069C" w:rsidTr="001123BC">
              <w:tc>
                <w:tcPr>
                  <w:tcW w:w="556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Program školskog kurikuluma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5.589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5.589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5.589</w:t>
                  </w:r>
                </w:p>
              </w:tc>
            </w:tr>
            <w:tr w:rsidR="00C273EE" w:rsidRPr="0007069C" w:rsidTr="001123BC">
              <w:tc>
                <w:tcPr>
                  <w:tcW w:w="556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91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Sufinanciranje rada pomoćnika u nastavi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17.461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17.461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17.461</w:t>
                  </w:r>
                </w:p>
              </w:tc>
            </w:tr>
            <w:tr w:rsidR="00C273EE" w:rsidRPr="0007069C" w:rsidTr="001123BC">
              <w:tc>
                <w:tcPr>
                  <w:tcW w:w="556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73EE" w:rsidRPr="0007069C" w:rsidTr="001123BC">
              <w:tc>
                <w:tcPr>
                  <w:tcW w:w="556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C273EE" w:rsidRPr="0007069C" w:rsidRDefault="00C273EE" w:rsidP="00C273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73EE" w:rsidRPr="0007069C" w:rsidTr="001123BC">
              <w:tc>
                <w:tcPr>
                  <w:tcW w:w="556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C273EE" w:rsidRPr="0007069C" w:rsidRDefault="00C273EE" w:rsidP="00C273E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C273EE" w:rsidRPr="0007069C" w:rsidRDefault="00C273EE" w:rsidP="00C273EE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137.007</w:t>
                  </w:r>
                </w:p>
              </w:tc>
              <w:tc>
                <w:tcPr>
                  <w:tcW w:w="1276" w:type="dxa"/>
                </w:tcPr>
                <w:p w:rsidR="00C273EE" w:rsidRDefault="0058089E" w:rsidP="00C273EE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134.307</w:t>
                  </w:r>
                </w:p>
              </w:tc>
              <w:tc>
                <w:tcPr>
                  <w:tcW w:w="1276" w:type="dxa"/>
                </w:tcPr>
                <w:p w:rsidR="00C273EE" w:rsidRDefault="0058089E" w:rsidP="00C273EE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134.307</w:t>
                  </w:r>
                </w:p>
              </w:tc>
            </w:tr>
          </w:tbl>
          <w:p w:rsidR="00C273EE" w:rsidRDefault="00C273EE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C273EE" w:rsidP="00C77836">
            <w:pPr>
              <w:framePr w:wrap="auto" w:hAnchor="text" w:x="1391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i rashodi za financiranje aktivnosti produženog boravka u 2023.godini u skladu su sa planiranim u 2022.godini. Očekuje se mali porast rashoda i to za indeks 103,80% zbog očekivanog porasta rashoda za zaposlene u 2023.godini. Što se tiče projekcija 2024. godina u odnosu na 2023.</w:t>
            </w:r>
            <w:r w:rsidR="00776DBE">
              <w:rPr>
                <w:rFonts w:ascii="Arial" w:hAnsi="Arial" w:cs="Arial"/>
                <w:sz w:val="20"/>
                <w:szCs w:val="20"/>
              </w:rPr>
              <w:t xml:space="preserve"> očekuje se smanjenje rashoda indeks 97,63%</w:t>
            </w:r>
            <w:r>
              <w:rPr>
                <w:rFonts w:ascii="Arial" w:hAnsi="Arial" w:cs="Arial"/>
                <w:sz w:val="20"/>
                <w:szCs w:val="20"/>
              </w:rPr>
              <w:t xml:space="preserve"> i 2025. godina u odnosu na 2024. očekujemo jednaku realizaciju rashoda.</w:t>
            </w:r>
            <w:r w:rsidR="00C321F6">
              <w:rPr>
                <w:rFonts w:ascii="Arial" w:hAnsi="Arial" w:cs="Arial"/>
                <w:sz w:val="20"/>
                <w:szCs w:val="20"/>
              </w:rPr>
              <w:t xml:space="preserve"> U aktivnosti Sufinanciranje rada pomoćnika u nastavi očekuje se smanjenje rashoda u 2023.godini u odnosu na plan 2022.godine iz razloga što je u 2022.godini planirano zapošljavanje većeg broja pomoćnika u nastavi</w:t>
            </w:r>
            <w:r w:rsidR="002632F5">
              <w:rPr>
                <w:rFonts w:ascii="Arial" w:hAnsi="Arial" w:cs="Arial"/>
                <w:sz w:val="20"/>
                <w:szCs w:val="20"/>
              </w:rPr>
              <w:t>,</w:t>
            </w:r>
            <w:r w:rsidR="00C321F6">
              <w:rPr>
                <w:rFonts w:ascii="Arial" w:hAnsi="Arial" w:cs="Arial"/>
                <w:sz w:val="20"/>
                <w:szCs w:val="20"/>
              </w:rPr>
              <w:t xml:space="preserve"> ali će se u školskoj godini 2022./2023. rashodi za te zaposlene financirati iz Udruga koji nisu u proračunu Škole.  Što se tiče projekcija 2024. godina u odnosu na 2023. i 2025. godina u odnosu na 2024. očekujemo jednaku realizaciju rashoda. Aktivnost Školskog kurikuluma financirat će se u 2023.godini nešto većim prihodima indeks 103,98% u odnosu na 2022.godinu i to u djelu izvora financiranja pomoći radi realne potrebe za uvećanjem rashoda u skladu sa stvarnim potrebama.  Što se tiče projekcija 2024. godina u odnosu na 2023. i 2025. godina u odnosu na 2024. očekujemo jednaku realizaciju rashoda.</w:t>
            </w:r>
          </w:p>
          <w:tbl>
            <w:tblPr>
              <w:tblW w:w="7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1193"/>
              <w:gridCol w:w="742"/>
              <w:gridCol w:w="992"/>
              <w:gridCol w:w="992"/>
              <w:gridCol w:w="992"/>
            </w:tblGrid>
            <w:tr w:rsidR="00C321F6" w:rsidRPr="009B2037" w:rsidTr="00C321F6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C321F6" w:rsidRPr="009B2037" w:rsidRDefault="00C321F6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</w:t>
                  </w: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C321F6" w:rsidRPr="009B2037" w:rsidRDefault="00C321F6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1193" w:type="dxa"/>
                  <w:vAlign w:val="center"/>
                </w:tcPr>
                <w:p w:rsidR="00C321F6" w:rsidRPr="009B2037" w:rsidRDefault="00C321F6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742" w:type="dxa"/>
                  <w:vAlign w:val="center"/>
                </w:tcPr>
                <w:p w:rsidR="00C321F6" w:rsidRPr="009B2037" w:rsidRDefault="00C321F6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C321F6" w:rsidRPr="009B2037" w:rsidRDefault="00C321F6" w:rsidP="00C778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:rsidR="00C321F6" w:rsidRPr="009B2037" w:rsidRDefault="00C321F6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C321F6" w:rsidRPr="009B2037" w:rsidRDefault="00C321F6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C321F6" w:rsidRPr="009B2037" w:rsidRDefault="00C321F6" w:rsidP="00C321F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23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C321F6" w:rsidRPr="009B2037" w:rsidRDefault="00C321F6" w:rsidP="00C321F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C321F6" w:rsidRPr="009B2037" w:rsidRDefault="00C321F6" w:rsidP="00C321F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C321F6" w:rsidRPr="009B2037" w:rsidRDefault="00C321F6" w:rsidP="00C321F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C321F6" w:rsidRPr="009B2037" w:rsidRDefault="00C321F6" w:rsidP="00C321F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C321F6" w:rsidRPr="009B2037" w:rsidRDefault="00C321F6" w:rsidP="00C321F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C321F6" w:rsidRPr="009B2037" w:rsidRDefault="00C321F6" w:rsidP="00C321F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25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C321F6" w:rsidRPr="009B2037" w:rsidTr="00C321F6">
              <w:trPr>
                <w:trHeight w:val="151"/>
              </w:trPr>
              <w:tc>
                <w:tcPr>
                  <w:tcW w:w="1252" w:type="dxa"/>
                </w:tcPr>
                <w:p w:rsidR="00C321F6" w:rsidRPr="00217E36" w:rsidRDefault="00C321F6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 koji koriste uslugu  produženog boravka</w:t>
                  </w:r>
                </w:p>
              </w:tc>
              <w:tc>
                <w:tcPr>
                  <w:tcW w:w="952" w:type="dxa"/>
                </w:tcPr>
                <w:p w:rsidR="00C321F6" w:rsidRPr="00217E36" w:rsidRDefault="00C321F6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 xml:space="preserve">Omogućiti skrb učenika putnika </w:t>
                  </w:r>
                </w:p>
              </w:tc>
              <w:tc>
                <w:tcPr>
                  <w:tcW w:w="1193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992" w:type="dxa"/>
                </w:tcPr>
                <w:p w:rsidR="00C321F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992" w:type="dxa"/>
                </w:tcPr>
                <w:p w:rsidR="00C321F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85</w:t>
                  </w:r>
                </w:p>
              </w:tc>
            </w:tr>
            <w:tr w:rsidR="00C321F6" w:rsidRPr="009B2037" w:rsidTr="00C321F6">
              <w:trPr>
                <w:trHeight w:val="188"/>
              </w:trPr>
              <w:tc>
                <w:tcPr>
                  <w:tcW w:w="1252" w:type="dxa"/>
                </w:tcPr>
                <w:p w:rsidR="00C321F6" w:rsidRPr="00217E36" w:rsidRDefault="00C321F6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Što veći broj  asistenata u nastavi</w:t>
                  </w:r>
                </w:p>
              </w:tc>
              <w:tc>
                <w:tcPr>
                  <w:tcW w:w="952" w:type="dxa"/>
                </w:tcPr>
                <w:p w:rsidR="00C321F6" w:rsidRPr="00217E36" w:rsidRDefault="00C321F6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 xml:space="preserve">Omogućiti pomoć učenicima sa teškoćama u razvoju </w:t>
                  </w:r>
                </w:p>
              </w:tc>
              <w:tc>
                <w:tcPr>
                  <w:tcW w:w="1193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C321F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C321F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</w:tr>
            <w:tr w:rsidR="00C321F6" w:rsidRPr="009B2037" w:rsidTr="00C321F6">
              <w:trPr>
                <w:trHeight w:val="188"/>
              </w:trPr>
              <w:tc>
                <w:tcPr>
                  <w:tcW w:w="1252" w:type="dxa"/>
                </w:tcPr>
                <w:p w:rsidR="00C321F6" w:rsidRPr="00217E36" w:rsidRDefault="00C321F6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 xml:space="preserve">Sufinanciranjem programa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mogućiti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što veći </w:t>
                  </w: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kreativnih i edukativnih  projekata i radionica, te poveć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ati broj učenika koji sudjeluju </w:t>
                  </w: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u njima.</w:t>
                  </w:r>
                </w:p>
              </w:tc>
              <w:tc>
                <w:tcPr>
                  <w:tcW w:w="952" w:type="dxa"/>
                </w:tcPr>
                <w:p w:rsidR="00C321F6" w:rsidRPr="00217E36" w:rsidRDefault="00C321F6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Poticati kreativni rad i sudjelovanje učenika u raznim edukativnim i kreativnim projektima i aktivnostima</w:t>
                  </w:r>
                </w:p>
              </w:tc>
              <w:tc>
                <w:tcPr>
                  <w:tcW w:w="1193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311</w:t>
                  </w:r>
                </w:p>
              </w:tc>
              <w:tc>
                <w:tcPr>
                  <w:tcW w:w="99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320</w:t>
                  </w:r>
                </w:p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99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330</w:t>
                  </w:r>
                </w:p>
              </w:tc>
            </w:tr>
            <w:tr w:rsidR="00C321F6" w:rsidRPr="009B2037" w:rsidTr="00C321F6">
              <w:trPr>
                <w:trHeight w:val="188"/>
              </w:trPr>
              <w:tc>
                <w:tcPr>
                  <w:tcW w:w="1252" w:type="dxa"/>
                </w:tcPr>
                <w:p w:rsidR="00C321F6" w:rsidRPr="00217E36" w:rsidRDefault="00C321F6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" w:type="dxa"/>
                </w:tcPr>
                <w:p w:rsidR="00C321F6" w:rsidRPr="00217E36" w:rsidRDefault="00C321F6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93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4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C321F6" w:rsidRPr="00217E36" w:rsidRDefault="00C321F6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3B4471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2A3DBD" w:rsidRDefault="003B4471" w:rsidP="00C7783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A3DB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PROGRAM OBILJEŽAVANJE POSTIGNUĆA UČENIKA I NASTAVNIKA</w:t>
            </w: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Razvoj ljudskih potencijala i povećanje kvalitete života</w:t>
            </w: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Unapređenje obrazovnog sustava te njegova usklađenost sa potrebama u gospodarstvu</w:t>
            </w: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Omogućiti stjecanje znanja i vještina učenika prema njihovim potrebama i interesima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poboljšati uvijete rada i unapređenje odvijanja odgojno obrazovnog procesa u školi</w:t>
            </w:r>
            <w:r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društveno promovirati djelatnost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471" w:rsidRPr="00EB763C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b/>
                <w:sz w:val="20"/>
                <w:szCs w:val="20"/>
              </w:rPr>
              <w:t xml:space="preserve">Natjecanja, susreti i smotre u znanju, vještinama i umijećima 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odnosi se na prijevoz učenika </w:t>
            </w:r>
            <w:r>
              <w:rPr>
                <w:rFonts w:ascii="Arial" w:hAnsi="Arial" w:cs="Arial"/>
                <w:sz w:val="20"/>
                <w:szCs w:val="20"/>
              </w:rPr>
              <w:t xml:space="preserve">i ostale troškove učenika vezane za 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 razna natjecanja u znanju i vještinama koji se financira iz  proračuna Jedinica lokalne samouprave i sredstava Županijskog proračuna  kao što je Novigradsko proljeće, Čarolija i ostala natjecanja, te novčane nagrade učenicima za postignut odličan osmogodišnji uspjeh.</w:t>
            </w:r>
          </w:p>
          <w:p w:rsidR="003B4471" w:rsidRPr="00EB763C" w:rsidRDefault="003B4471" w:rsidP="00C77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471" w:rsidRDefault="003B4471" w:rsidP="00C7783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</w:t>
            </w:r>
            <w:r w:rsidRPr="008B4D82">
              <w:rPr>
                <w:rFonts w:ascii="Arial" w:hAnsi="Arial" w:cs="Arial"/>
                <w:sz w:val="20"/>
                <w:szCs w:val="20"/>
              </w:rPr>
              <w:t>dredbama Zakon o odgoju i obrazovanju u osnovnoj i srednjoj školi (NN 87/08, 86/09 , 92/10, 105/10, 90/11,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D82">
              <w:rPr>
                <w:rFonts w:ascii="Arial" w:hAnsi="Arial" w:cs="Arial"/>
                <w:sz w:val="20"/>
                <w:szCs w:val="20"/>
              </w:rPr>
              <w:t>16/12, 86/12, 86/12, 94/13, 152/14, 07/17, 68/18 , 98/19, 64/20), Zakona o ustanovama (Narodne novine, broj 76/93, 29/97, 47/99, 35/08,127/19); Zakon o lokalnoj i područnoj (regionalnoj) samoupravi (NN 33/01, 60/01, 129/05, 109,07, 125/08, 36/09, 150/11, 144/12, 19/13, 137/15, 123/17, 98/19</w:t>
            </w:r>
            <w:r>
              <w:rPr>
                <w:rFonts w:ascii="Arial" w:hAnsi="Arial" w:cs="Arial"/>
                <w:sz w:val="20"/>
                <w:szCs w:val="20"/>
              </w:rPr>
              <w:t>, 144/20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Državni pedagoški standard osnovnoškolskog sustava odgoja i obrazovanja (NN 63/08, 90/10), Zakon o financiranju jedinica lokalne i područne (regionalne) samouprave (NN 127/17</w:t>
            </w:r>
            <w:r>
              <w:rPr>
                <w:rFonts w:ascii="Arial" w:hAnsi="Arial" w:cs="Arial"/>
                <w:sz w:val="20"/>
                <w:szCs w:val="20"/>
              </w:rPr>
              <w:t>, 138/20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Temeljni kolektivni ugovor za službenike i namještenike u javnim službama (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E55">
              <w:rPr>
                <w:rFonts w:ascii="Arial" w:hAnsi="Arial" w:cs="Arial"/>
                <w:sz w:val="20"/>
                <w:szCs w:val="20"/>
              </w:rPr>
              <w:t>56/22</w:t>
            </w:r>
            <w:r w:rsidRPr="008B4D8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4471" w:rsidRPr="008B4D82" w:rsidRDefault="003B4471" w:rsidP="00C7783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313E" w:rsidRPr="008B4D82" w:rsidRDefault="003B4471" w:rsidP="00DC313E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</w:t>
            </w:r>
            <w:r w:rsidR="00DC313E" w:rsidRPr="008B4D82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DC313E" w:rsidRPr="008B4D82">
              <w:rPr>
                <w:rFonts w:ascii="Arial" w:hAnsi="Arial" w:cs="Arial"/>
                <w:noProof/>
                <w:sz w:val="20"/>
                <w:szCs w:val="20"/>
              </w:rPr>
              <w:t>putama za izradu proračuna Primorsko-goranske županije za razdoblje 202</w:t>
            </w:r>
            <w:r w:rsidR="00DC313E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DC313E" w:rsidRPr="008B4D82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DC313E">
              <w:rPr>
                <w:rFonts w:ascii="Arial" w:hAnsi="Arial" w:cs="Arial"/>
                <w:noProof/>
                <w:sz w:val="20"/>
                <w:szCs w:val="20"/>
              </w:rPr>
              <w:t>-2025.</w:t>
            </w:r>
            <w:r w:rsidR="00DC313E" w:rsidRPr="008B4D82">
              <w:rPr>
                <w:rFonts w:ascii="Arial" w:hAnsi="Arial" w:cs="Arial"/>
                <w:noProof/>
                <w:sz w:val="20"/>
                <w:szCs w:val="20"/>
              </w:rPr>
              <w:t xml:space="preserve"> i dopisom Upravnog odjela za odgoj i obrazovanje;</w:t>
            </w:r>
          </w:p>
          <w:p w:rsidR="00DC313E" w:rsidRDefault="00DC313E" w:rsidP="00DC313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 Godišnjim izvedbenim odgojno–obrazovnim planom i programom rada za školsku godinu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>./202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4471" w:rsidRDefault="00DC313E" w:rsidP="00B9058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 Školskim kurikulumom Osnovne škole Viktora Cara Emina za školsku godinu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>./202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9058C" w:rsidRDefault="00B9058C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9058C" w:rsidRDefault="00B9058C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C313E" w:rsidRDefault="00DC313E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C313E" w:rsidRDefault="00DC313E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rPr>
                <w:rFonts w:ascii="Arial" w:hAnsi="Arial" w:cs="Arial"/>
                <w:sz w:val="20"/>
                <w:szCs w:val="20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Osnova za izračun i ocjenu potrebnih sredstava temelji se na stvarnim troškovima iz prethodnih godina, potrebe ciljanih skupina, procjena prijave programa korisnika, rezultatima prethodnog rada korisnika, troškovnicima i cijenama vanjskih usluga.</w:t>
            </w: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C313E" w:rsidRDefault="00DC313E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C313E" w:rsidRDefault="00DC313E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  <w:gridCol w:w="1276"/>
              <w:gridCol w:w="1276"/>
            </w:tblGrid>
            <w:tr w:rsidR="00DC313E" w:rsidRPr="0007069C" w:rsidTr="001123BC">
              <w:tc>
                <w:tcPr>
                  <w:tcW w:w="556" w:type="dxa"/>
                </w:tcPr>
                <w:p w:rsidR="00DC313E" w:rsidRPr="0007069C" w:rsidRDefault="00DC313E" w:rsidP="00DC313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DC313E" w:rsidRPr="0007069C" w:rsidRDefault="00DC313E" w:rsidP="00DC313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OBILJEŽAVANJE POSTIGNUĆA UČENIKA I NASTAVNIKA</w:t>
                  </w:r>
                </w:p>
              </w:tc>
              <w:tc>
                <w:tcPr>
                  <w:tcW w:w="1276" w:type="dxa"/>
                </w:tcPr>
                <w:p w:rsidR="00DC313E" w:rsidRPr="0007069C" w:rsidRDefault="00DC313E" w:rsidP="00DC313E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2023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DC313E" w:rsidRDefault="00DC313E" w:rsidP="00DC313E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2024.</w:t>
                  </w:r>
                </w:p>
              </w:tc>
              <w:tc>
                <w:tcPr>
                  <w:tcW w:w="1276" w:type="dxa"/>
                </w:tcPr>
                <w:p w:rsidR="00DC313E" w:rsidRDefault="00DC313E" w:rsidP="00DC313E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2025.</w:t>
                  </w:r>
                </w:p>
              </w:tc>
            </w:tr>
            <w:tr w:rsidR="00DC313E" w:rsidRPr="00E92559" w:rsidTr="001123BC">
              <w:tc>
                <w:tcPr>
                  <w:tcW w:w="556" w:type="dxa"/>
                </w:tcPr>
                <w:p w:rsidR="00DC313E" w:rsidRPr="001954AD" w:rsidRDefault="00DC313E" w:rsidP="00DC313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DC313E" w:rsidRPr="001954AD" w:rsidRDefault="00DC313E" w:rsidP="00DC313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Natjecanja i smotre</w:t>
                  </w: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</w:tr>
            <w:tr w:rsidR="00DC313E" w:rsidRPr="00E92559" w:rsidTr="001123BC">
              <w:tc>
                <w:tcPr>
                  <w:tcW w:w="556" w:type="dxa"/>
                </w:tcPr>
                <w:p w:rsidR="00DC313E" w:rsidRPr="0007069C" w:rsidRDefault="00DC313E" w:rsidP="00DC313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C313E" w:rsidRPr="0007069C" w:rsidRDefault="00DC313E" w:rsidP="00DC313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C313E" w:rsidRPr="00E92559" w:rsidTr="001123BC">
              <w:tc>
                <w:tcPr>
                  <w:tcW w:w="556" w:type="dxa"/>
                </w:tcPr>
                <w:p w:rsidR="00DC313E" w:rsidRPr="0007069C" w:rsidRDefault="00DC313E" w:rsidP="00DC313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DC313E" w:rsidRPr="0007069C" w:rsidRDefault="00DC313E" w:rsidP="00DC313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  <w:tc>
                <w:tcPr>
                  <w:tcW w:w="1276" w:type="dxa"/>
                </w:tcPr>
                <w:p w:rsidR="00DC313E" w:rsidRPr="00E92559" w:rsidRDefault="00DC313E" w:rsidP="00DC313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3.426</w:t>
                  </w:r>
                </w:p>
              </w:tc>
            </w:tr>
          </w:tbl>
          <w:p w:rsidR="00DC313E" w:rsidRDefault="00DC313E" w:rsidP="00C7783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16860" w:rsidRDefault="003B4471" w:rsidP="00816860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Planirana sredstva ovog programa financirana od strane Županije </w:t>
            </w:r>
            <w:r w:rsidR="00DC31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uvećana su </w:t>
            </w:r>
            <w:r w:rsidR="00B9058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odnosu na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plan</w:t>
            </w:r>
            <w:r w:rsidR="00B9058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u 2022.godini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jer </w:t>
            </w:r>
            <w:r w:rsidR="00DC31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 kod planiranja rashoda u 2022.godinu 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natjecanje Čarolije </w:t>
            </w:r>
            <w:r w:rsidR="00DC31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nisu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organizi</w:t>
            </w:r>
            <w:r w:rsidR="00DC31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rane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kao do sada zbog COVID mjera koje su pratile natjecanje</w:t>
            </w:r>
            <w:r w:rsidR="00B9058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natjecanje je organizirano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puno skromnije pa su rashodi bili manji</w:t>
            </w:r>
            <w:r w:rsidR="0081686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dok se u 2023. godini očekuje povratak na normalnu organizaciju ovog natjecanja</w:t>
            </w:r>
            <w:r w:rsidR="00B9058C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81686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 time i veće rashode indeks 169,69%.</w:t>
            </w:r>
            <w:r w:rsidR="00816860">
              <w:rPr>
                <w:rFonts w:ascii="Arial" w:hAnsi="Arial" w:cs="Arial"/>
                <w:sz w:val="20"/>
                <w:szCs w:val="20"/>
              </w:rPr>
              <w:t xml:space="preserve"> Što se tiče projekcija 2024. godina u odnosu na 2023. i 2025. godina u odnosu na 2024. očekujemo jednaku realizaciju rashoda.</w:t>
            </w:r>
          </w:p>
          <w:p w:rsidR="00816860" w:rsidRDefault="00816860" w:rsidP="00C7783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7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1193"/>
              <w:gridCol w:w="742"/>
              <w:gridCol w:w="992"/>
              <w:gridCol w:w="992"/>
              <w:gridCol w:w="992"/>
            </w:tblGrid>
            <w:tr w:rsidR="00816860" w:rsidRPr="009B2037" w:rsidTr="00816860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816860" w:rsidRPr="009B2037" w:rsidRDefault="00816860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</w:t>
                  </w: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816860" w:rsidRPr="009B2037" w:rsidRDefault="00816860" w:rsidP="00C7783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1193" w:type="dxa"/>
                  <w:vAlign w:val="center"/>
                </w:tcPr>
                <w:p w:rsidR="00816860" w:rsidRPr="009B2037" w:rsidRDefault="00816860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742" w:type="dxa"/>
                  <w:vAlign w:val="center"/>
                </w:tcPr>
                <w:p w:rsidR="00816860" w:rsidRPr="009B2037" w:rsidRDefault="00816860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816860" w:rsidRPr="009B2037" w:rsidRDefault="00816860" w:rsidP="00C778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:rsidR="00816860" w:rsidRPr="009B2037" w:rsidRDefault="00816860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816860" w:rsidRPr="009B2037" w:rsidRDefault="00816860" w:rsidP="00C7783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816860" w:rsidRPr="009B2037" w:rsidRDefault="00816860" w:rsidP="0081686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23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816860" w:rsidRPr="009B2037" w:rsidRDefault="00816860" w:rsidP="0081686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816860" w:rsidRPr="009B2037" w:rsidRDefault="00816860" w:rsidP="0081686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816860" w:rsidRPr="009B2037" w:rsidRDefault="00816860" w:rsidP="0081686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816860" w:rsidRPr="009B2037" w:rsidRDefault="00816860" w:rsidP="0081686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816860" w:rsidRPr="009B2037" w:rsidRDefault="00816860" w:rsidP="0081686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816860" w:rsidRPr="009B2037" w:rsidRDefault="00816860" w:rsidP="0081686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25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816860" w:rsidRPr="009B2037" w:rsidTr="00816860">
              <w:trPr>
                <w:trHeight w:val="188"/>
              </w:trPr>
              <w:tc>
                <w:tcPr>
                  <w:tcW w:w="1252" w:type="dxa"/>
                </w:tcPr>
                <w:p w:rsidR="00816860" w:rsidRPr="00217E36" w:rsidRDefault="00816860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Što veći broj  učenika koj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</w:t>
                  </w: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 xml:space="preserve"> sudjeluju na natjecanjima</w:t>
                  </w:r>
                </w:p>
              </w:tc>
              <w:tc>
                <w:tcPr>
                  <w:tcW w:w="952" w:type="dxa"/>
                </w:tcPr>
                <w:p w:rsidR="00816860" w:rsidRPr="00217E36" w:rsidRDefault="00816860" w:rsidP="00C7783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Omogućiti što većem broju učenika mogućnost sudjelovanja na natjecanjima</w:t>
                  </w:r>
                </w:p>
              </w:tc>
              <w:tc>
                <w:tcPr>
                  <w:tcW w:w="1193" w:type="dxa"/>
                </w:tcPr>
                <w:p w:rsidR="00816860" w:rsidRPr="00217E36" w:rsidRDefault="00816860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816860" w:rsidRPr="00217E36" w:rsidRDefault="00816860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816860" w:rsidRPr="00217E36" w:rsidRDefault="00816860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816860" w:rsidRPr="00217E36" w:rsidRDefault="00816860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:rsidR="00816860" w:rsidRPr="00217E36" w:rsidRDefault="00816860" w:rsidP="00C7783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</w:tr>
          </w:tbl>
          <w:p w:rsidR="003B4471" w:rsidRDefault="003B4471" w:rsidP="00C77836">
            <w:pPr>
              <w:jc w:val="both"/>
              <w:rPr>
                <w:rFonts w:ascii="Arial" w:hAnsi="Arial" w:cs="Arial"/>
                <w:b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b/>
              </w:rPr>
            </w:pPr>
          </w:p>
          <w:p w:rsidR="003B4471" w:rsidRDefault="003B4471" w:rsidP="00C77836">
            <w:pPr>
              <w:jc w:val="both"/>
              <w:rPr>
                <w:rFonts w:ascii="Arial" w:hAnsi="Arial" w:cs="Arial"/>
                <w:b/>
              </w:rPr>
            </w:pPr>
          </w:p>
          <w:p w:rsidR="003B4471" w:rsidRPr="002A3DBD" w:rsidRDefault="003B4471" w:rsidP="003B447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A3DB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KAPITALNA ULAGANJA U ODGOJNO OBRAZOVNU STRUKTURU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11DB3" w:rsidRDefault="00611DB3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DB3" w:rsidRDefault="00611DB3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Razvoj ljudskih potencijala i povećanje kvalitete života</w:t>
            </w:r>
          </w:p>
          <w:p w:rsidR="003B4471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Unapređenje obrazovnog sustava te njegova usklađenost sa potrebama u gospodarstvu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Poboljšati uvjete rada, unaprijediti odvijanje odgojno obrazovnog procesa te sigurnost škole. Zadovoljiti specifične potrebe pojedinih grupacija učenika.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8B4D82" w:rsidRDefault="003B4471" w:rsidP="003B44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</w:t>
            </w:r>
            <w:r w:rsidRPr="008B4D82">
              <w:rPr>
                <w:rFonts w:ascii="Arial" w:hAnsi="Arial" w:cs="Arial"/>
                <w:sz w:val="20"/>
                <w:szCs w:val="20"/>
              </w:rPr>
              <w:t>dredbama Zakon o odgoju i obrazovanju u osnovnoj i srednjoj školi (NN 87/08, 86/09 , 92/10, 105/10, 90/11,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D82">
              <w:rPr>
                <w:rFonts w:ascii="Arial" w:hAnsi="Arial" w:cs="Arial"/>
                <w:sz w:val="20"/>
                <w:szCs w:val="20"/>
              </w:rPr>
              <w:t>16/12, 86/12, 86/12, 94/13, 152/14, 07/17, 68/18 , 98/19, 64/20), Zakona o ustanovama (Narodne novine, broj 76/93, 29/97, 47/99, 35/08,127/19); Zakon o lokalnoj i područnoj (regionalnoj) samoupravi (NN 33/01, 60/01, 129/05, 109,07, 125/08, 36/09, 150/11, 144/12, 19/13, 137/15, 123/17, 98/19</w:t>
            </w:r>
            <w:r>
              <w:rPr>
                <w:rFonts w:ascii="Arial" w:hAnsi="Arial" w:cs="Arial"/>
                <w:sz w:val="20"/>
                <w:szCs w:val="20"/>
              </w:rPr>
              <w:t>, 144/20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Državni pedagoški standard osnovnoškolskog sustava odgoja i obrazovanja (NN 63/08, 90/10), Zakon o financiranju jedinica lokalne i područne (regionalne) samouprave (NN 127/17</w:t>
            </w:r>
            <w:r>
              <w:rPr>
                <w:rFonts w:ascii="Arial" w:hAnsi="Arial" w:cs="Arial"/>
                <w:sz w:val="20"/>
                <w:szCs w:val="20"/>
              </w:rPr>
              <w:t>, 138/20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Temeljni kolektivni ugovor za službenike i namještenike u javnim službama (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E55">
              <w:rPr>
                <w:rFonts w:ascii="Arial" w:hAnsi="Arial" w:cs="Arial"/>
                <w:sz w:val="20"/>
                <w:szCs w:val="20"/>
              </w:rPr>
              <w:t>56/22</w:t>
            </w:r>
            <w:r w:rsidRPr="008B4D8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16860" w:rsidRPr="008B4D82" w:rsidRDefault="003B4471" w:rsidP="00816860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816860" w:rsidRPr="008B4D82">
              <w:rPr>
                <w:rFonts w:ascii="Arial" w:hAnsi="Arial" w:cs="Arial"/>
                <w:sz w:val="20"/>
                <w:szCs w:val="20"/>
              </w:rPr>
              <w:t>- u</w:t>
            </w:r>
            <w:r w:rsidR="00816860" w:rsidRPr="008B4D82">
              <w:rPr>
                <w:rFonts w:ascii="Arial" w:hAnsi="Arial" w:cs="Arial"/>
                <w:noProof/>
                <w:sz w:val="20"/>
                <w:szCs w:val="20"/>
              </w:rPr>
              <w:t>putama za izradu proračuna Primorsko-goranske županije za razdoblje 202</w:t>
            </w:r>
            <w:r w:rsidR="0081686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816860" w:rsidRPr="008B4D82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816860">
              <w:rPr>
                <w:rFonts w:ascii="Arial" w:hAnsi="Arial" w:cs="Arial"/>
                <w:noProof/>
                <w:sz w:val="20"/>
                <w:szCs w:val="20"/>
              </w:rPr>
              <w:t>-2025.</w:t>
            </w:r>
            <w:r w:rsidR="00816860" w:rsidRPr="008B4D82">
              <w:rPr>
                <w:rFonts w:ascii="Arial" w:hAnsi="Arial" w:cs="Arial"/>
                <w:noProof/>
                <w:sz w:val="20"/>
                <w:szCs w:val="20"/>
              </w:rPr>
              <w:t xml:space="preserve"> i dopisom Upravnog odjela za odgoj i obrazovanje;</w:t>
            </w:r>
          </w:p>
          <w:p w:rsidR="00816860" w:rsidRPr="008B4D82" w:rsidRDefault="00816860" w:rsidP="0081686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 Godišnjim izvedbenim odgojno–obrazovnim planom i programom rada za školsku godinu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>./202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860" w:rsidRDefault="00816860" w:rsidP="00B9058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 Školskim kurikulumom Osnovne škole Viktora Cara Emina za školsku godinu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B4D82">
              <w:rPr>
                <w:rFonts w:ascii="Arial" w:hAnsi="Arial" w:cs="Arial"/>
                <w:sz w:val="20"/>
                <w:szCs w:val="20"/>
              </w:rPr>
              <w:t>./202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rPr>
                <w:rFonts w:ascii="Arial" w:hAnsi="Arial" w:cs="Arial"/>
                <w:sz w:val="20"/>
                <w:szCs w:val="20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 xml:space="preserve">Osnova za izračun i ocjenu potrebnih sredstava temelji se na stvarnim troškovima iz prethodnih godina, potrebe ciljanih skupina,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rijave </w:t>
            </w:r>
            <w:r>
              <w:rPr>
                <w:rFonts w:ascii="Arial" w:hAnsi="Arial" w:cs="Arial"/>
                <w:sz w:val="20"/>
                <w:szCs w:val="20"/>
              </w:rPr>
              <w:t xml:space="preserve">potreba od strane korisnika, 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troškovnicima i cijenama vanjskih usluga.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  <w:gridCol w:w="1276"/>
              <w:gridCol w:w="1276"/>
            </w:tblGrid>
            <w:tr w:rsidR="00B27938" w:rsidRPr="0007069C" w:rsidTr="001123BC">
              <w:tc>
                <w:tcPr>
                  <w:tcW w:w="556" w:type="dxa"/>
                </w:tcPr>
                <w:p w:rsidR="00B27938" w:rsidRPr="0007069C" w:rsidRDefault="00B27938" w:rsidP="00B27938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B27938" w:rsidRPr="0007069C" w:rsidRDefault="00B27938" w:rsidP="00B27938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KAPITALNA ULAGANJA U ODGOJNO OBRAZOVNU INFRASTRUKTURU</w:t>
                  </w:r>
                </w:p>
              </w:tc>
              <w:tc>
                <w:tcPr>
                  <w:tcW w:w="1276" w:type="dxa"/>
                </w:tcPr>
                <w:p w:rsidR="00B27938" w:rsidRPr="0007069C" w:rsidRDefault="00B27938" w:rsidP="00B27938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2023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B27938" w:rsidRDefault="00B27938" w:rsidP="00B27938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2024.</w:t>
                  </w:r>
                </w:p>
              </w:tc>
              <w:tc>
                <w:tcPr>
                  <w:tcW w:w="1276" w:type="dxa"/>
                </w:tcPr>
                <w:p w:rsidR="00B27938" w:rsidRDefault="00B27938" w:rsidP="00B27938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2025.</w:t>
                  </w:r>
                </w:p>
              </w:tc>
            </w:tr>
            <w:tr w:rsidR="00B27938" w:rsidRPr="00E92559" w:rsidTr="001123BC">
              <w:tc>
                <w:tcPr>
                  <w:tcW w:w="556" w:type="dxa"/>
                </w:tcPr>
                <w:p w:rsidR="00B27938" w:rsidRPr="001954AD" w:rsidRDefault="00B27938" w:rsidP="00B2793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B27938" w:rsidRPr="001954AD" w:rsidRDefault="00B27938" w:rsidP="00B2793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Opremanje ustanova školstva</w:t>
                  </w:r>
                </w:p>
              </w:tc>
              <w:tc>
                <w:tcPr>
                  <w:tcW w:w="1276" w:type="dxa"/>
                </w:tcPr>
                <w:p w:rsidR="00B27938" w:rsidRPr="00E92559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204.391</w:t>
                  </w:r>
                </w:p>
              </w:tc>
              <w:tc>
                <w:tcPr>
                  <w:tcW w:w="1276" w:type="dxa"/>
                </w:tcPr>
                <w:p w:rsidR="00B27938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3.980</w:t>
                  </w:r>
                </w:p>
              </w:tc>
              <w:tc>
                <w:tcPr>
                  <w:tcW w:w="1276" w:type="dxa"/>
                </w:tcPr>
                <w:p w:rsidR="00B27938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3.980</w:t>
                  </w:r>
                </w:p>
              </w:tc>
            </w:tr>
            <w:tr w:rsidR="00B27938" w:rsidRPr="00E92559" w:rsidTr="001123BC">
              <w:tc>
                <w:tcPr>
                  <w:tcW w:w="556" w:type="dxa"/>
                </w:tcPr>
                <w:p w:rsidR="00B27938" w:rsidRPr="0007069C" w:rsidRDefault="00B27938" w:rsidP="00B2793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B27938" w:rsidRPr="0007069C" w:rsidRDefault="00B27938" w:rsidP="00B27938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B27938" w:rsidRPr="00E92559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B27938" w:rsidRPr="00E92559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B27938" w:rsidRPr="00E92559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27938" w:rsidRPr="00E92559" w:rsidTr="001123BC">
              <w:tc>
                <w:tcPr>
                  <w:tcW w:w="556" w:type="dxa"/>
                </w:tcPr>
                <w:p w:rsidR="00B27938" w:rsidRPr="0007069C" w:rsidRDefault="00B27938" w:rsidP="00B27938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B27938" w:rsidRPr="0007069C" w:rsidRDefault="00B27938" w:rsidP="00B27938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B27938" w:rsidRPr="00E92559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204.391</w:t>
                  </w:r>
                </w:p>
              </w:tc>
              <w:tc>
                <w:tcPr>
                  <w:tcW w:w="1276" w:type="dxa"/>
                </w:tcPr>
                <w:p w:rsidR="00B27938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3.980</w:t>
                  </w:r>
                </w:p>
              </w:tc>
              <w:tc>
                <w:tcPr>
                  <w:tcW w:w="1276" w:type="dxa"/>
                </w:tcPr>
                <w:p w:rsidR="00B27938" w:rsidRDefault="00B27938" w:rsidP="00B2793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3.980</w:t>
                  </w:r>
                </w:p>
              </w:tc>
            </w:tr>
          </w:tbl>
          <w:p w:rsid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27938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B447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programu Kapitalna ulaganja u odgojno obrazovnu infrastrukturu plan za 202</w:t>
            </w:r>
            <w:r w:rsidR="00B279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3B447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godinu </w:t>
            </w:r>
            <w:r w:rsidR="00B279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znatno je veći u odnosu na plan 2022.godinu i to indeks 835,65% .Radi se o prilivu prihoda u 2022.godini od prodaje građevinskog objekta, taj prihod će se prenesti kao višak prihoda od prodaje nefinancijske imovine  u 2023.godini i izvršit će se dodatna ulaganja na građevinskim objektima. Ta ulaganja realizirat će se u 2023. godini pa u projekciji 2024. godine u odnosu na 2023. godinu imamo pad rashoda </w:t>
            </w:r>
            <w:r w:rsidR="00C80A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indeksom 1,95% . U 2025.godini u odnosu na 2024.godinu očekuje se jednaka realizacija rashoda indeks 100%.Osim dodatnih ulaganja u građevinske objekta planirana je kupnja uredske opreme i namještaja u skladu sa stvarnom potrebom u odgojno obrazovnom procesu, lektire za učenike i projektora za provođenje nastave.</w:t>
            </w:r>
            <w:r w:rsidR="00B2793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27938" w:rsidRDefault="00B27938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7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953"/>
              <w:gridCol w:w="982"/>
              <w:gridCol w:w="992"/>
              <w:gridCol w:w="992"/>
              <w:gridCol w:w="992"/>
            </w:tblGrid>
            <w:tr w:rsidR="00B27938" w:rsidRPr="003B4471" w:rsidTr="00B27938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B27938" w:rsidRPr="003B4471" w:rsidRDefault="00B27938" w:rsidP="003B447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B27938" w:rsidRPr="003B4471" w:rsidRDefault="00B27938" w:rsidP="003B447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53" w:type="dxa"/>
                  <w:vAlign w:val="center"/>
                </w:tcPr>
                <w:p w:rsidR="00B27938" w:rsidRPr="003B4471" w:rsidRDefault="00B27938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82" w:type="dxa"/>
                  <w:vAlign w:val="center"/>
                </w:tcPr>
                <w:p w:rsidR="00B27938" w:rsidRPr="003B4471" w:rsidRDefault="00B27938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Polazna</w:t>
                  </w:r>
                </w:p>
                <w:p w:rsidR="00B27938" w:rsidRPr="003B4471" w:rsidRDefault="00B27938" w:rsidP="003B447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:rsidR="00B27938" w:rsidRPr="003B4471" w:rsidRDefault="00B27938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Ciljana</w:t>
                  </w:r>
                </w:p>
                <w:p w:rsidR="00B27938" w:rsidRPr="003B4471" w:rsidRDefault="00B27938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vrijednost</w:t>
                  </w:r>
                </w:p>
                <w:p w:rsidR="00B27938" w:rsidRPr="003B4471" w:rsidRDefault="00B27938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2023</w:t>
                  </w: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B27938" w:rsidRPr="003B4471" w:rsidRDefault="00B27938" w:rsidP="00B27938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Ciljana</w:t>
                  </w:r>
                </w:p>
                <w:p w:rsidR="00B27938" w:rsidRPr="003B4471" w:rsidRDefault="00B27938" w:rsidP="00B27938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vrijednost</w:t>
                  </w:r>
                </w:p>
                <w:p w:rsidR="00B27938" w:rsidRPr="003B4471" w:rsidRDefault="00B27938" w:rsidP="00B27938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B27938" w:rsidRPr="003B4471" w:rsidRDefault="00B27938" w:rsidP="00B27938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Ciljana</w:t>
                  </w:r>
                </w:p>
                <w:p w:rsidR="00B27938" w:rsidRPr="003B4471" w:rsidRDefault="00B27938" w:rsidP="00B27938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vrijednost</w:t>
                  </w:r>
                </w:p>
                <w:p w:rsidR="00B27938" w:rsidRPr="003B4471" w:rsidRDefault="00B27938" w:rsidP="00B27938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B27938" w:rsidRPr="003B4471" w:rsidTr="00B27938">
              <w:trPr>
                <w:trHeight w:val="151"/>
              </w:trPr>
              <w:tc>
                <w:tcPr>
                  <w:tcW w:w="1252" w:type="dxa"/>
                </w:tcPr>
                <w:p w:rsidR="00B27938" w:rsidRPr="003B4471" w:rsidRDefault="00B27938" w:rsidP="003B447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Ostvarenje plana opremanja škole</w:t>
                  </w:r>
                </w:p>
              </w:tc>
              <w:tc>
                <w:tcPr>
                  <w:tcW w:w="952" w:type="dxa"/>
                </w:tcPr>
                <w:p w:rsidR="00B27938" w:rsidRPr="003B4471" w:rsidRDefault="00B27938" w:rsidP="003B447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Financiranjem nabave opreme zadržati uvijete za odvijanje nastavnog procesa</w:t>
                  </w:r>
                </w:p>
              </w:tc>
              <w:tc>
                <w:tcPr>
                  <w:tcW w:w="953" w:type="dxa"/>
                </w:tcPr>
                <w:p w:rsidR="00B27938" w:rsidRPr="003B4471" w:rsidRDefault="00B27938" w:rsidP="003B4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%plan</w:t>
                  </w:r>
                </w:p>
              </w:tc>
              <w:tc>
                <w:tcPr>
                  <w:tcW w:w="982" w:type="dxa"/>
                </w:tcPr>
                <w:p w:rsidR="00B27938" w:rsidRPr="003B4471" w:rsidRDefault="00B27938" w:rsidP="003B4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90%</w:t>
                  </w:r>
                </w:p>
              </w:tc>
              <w:tc>
                <w:tcPr>
                  <w:tcW w:w="992" w:type="dxa"/>
                </w:tcPr>
                <w:p w:rsidR="00B27938" w:rsidRPr="003B4471" w:rsidRDefault="00B27938" w:rsidP="003B4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93%</w:t>
                  </w:r>
                </w:p>
              </w:tc>
              <w:tc>
                <w:tcPr>
                  <w:tcW w:w="992" w:type="dxa"/>
                </w:tcPr>
                <w:p w:rsidR="00B27938" w:rsidRPr="003B4471" w:rsidRDefault="00B27938" w:rsidP="003B4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95%</w:t>
                  </w:r>
                </w:p>
              </w:tc>
              <w:tc>
                <w:tcPr>
                  <w:tcW w:w="992" w:type="dxa"/>
                </w:tcPr>
                <w:p w:rsidR="00B27938" w:rsidRPr="003B4471" w:rsidRDefault="00B27938" w:rsidP="003B4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97%</w:t>
                  </w:r>
                </w:p>
              </w:tc>
            </w:tr>
          </w:tbl>
          <w:p w:rsidR="003B4471" w:rsidRP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ind w:left="4956"/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Ravnateljica Škole</w:t>
            </w:r>
          </w:p>
          <w:p w:rsidR="003B4471" w:rsidRPr="003B4471" w:rsidRDefault="003B4471" w:rsidP="003B4471">
            <w:pPr>
              <w:ind w:left="4956"/>
              <w:rPr>
                <w:sz w:val="22"/>
                <w:szCs w:val="22"/>
              </w:rPr>
            </w:pPr>
          </w:p>
          <w:p w:rsidR="003B4471" w:rsidRPr="003B4471" w:rsidRDefault="003B4471" w:rsidP="003B4471">
            <w:pPr>
              <w:ind w:left="4956"/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____________________</w:t>
            </w:r>
          </w:p>
          <w:p w:rsidR="003B4471" w:rsidRPr="003B4471" w:rsidRDefault="003B4471" w:rsidP="003B4471">
            <w:pPr>
              <w:rPr>
                <w:sz w:val="18"/>
              </w:rPr>
            </w:pP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  <w:t xml:space="preserve">Iva </w:t>
            </w:r>
            <w:proofErr w:type="spellStart"/>
            <w:r w:rsidRPr="003B4471">
              <w:rPr>
                <w:sz w:val="22"/>
                <w:szCs w:val="22"/>
              </w:rPr>
              <w:t>Erceg,mag.prim.educ</w:t>
            </w:r>
            <w:proofErr w:type="spellEnd"/>
            <w:r w:rsidRPr="003B4471">
              <w:rPr>
                <w:sz w:val="22"/>
                <w:szCs w:val="22"/>
              </w:rPr>
              <w:t>.</w:t>
            </w:r>
          </w:p>
          <w:p w:rsidR="003B4471" w:rsidRPr="0015726F" w:rsidRDefault="003B4471" w:rsidP="00C7783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27405" w:rsidRDefault="00C27405"/>
    <w:sectPr w:rsidR="00C2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C49"/>
    <w:multiLevelType w:val="hybridMultilevel"/>
    <w:tmpl w:val="1CFC72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1AC6"/>
    <w:multiLevelType w:val="hybridMultilevel"/>
    <w:tmpl w:val="C1FEE8B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78"/>
    <w:rsid w:val="00004C4C"/>
    <w:rsid w:val="00010526"/>
    <w:rsid w:val="00090697"/>
    <w:rsid w:val="000E69C4"/>
    <w:rsid w:val="001123BC"/>
    <w:rsid w:val="001C2140"/>
    <w:rsid w:val="002632F5"/>
    <w:rsid w:val="002A3DBD"/>
    <w:rsid w:val="003066C1"/>
    <w:rsid w:val="00307EA2"/>
    <w:rsid w:val="003B4471"/>
    <w:rsid w:val="003E0744"/>
    <w:rsid w:val="00405549"/>
    <w:rsid w:val="004B0ABB"/>
    <w:rsid w:val="005234BC"/>
    <w:rsid w:val="0055145E"/>
    <w:rsid w:val="00574CA5"/>
    <w:rsid w:val="0058089E"/>
    <w:rsid w:val="00611DB3"/>
    <w:rsid w:val="00673592"/>
    <w:rsid w:val="006A7BF6"/>
    <w:rsid w:val="006B2342"/>
    <w:rsid w:val="006C74F3"/>
    <w:rsid w:val="00751A88"/>
    <w:rsid w:val="00776DBE"/>
    <w:rsid w:val="007E6E39"/>
    <w:rsid w:val="00816860"/>
    <w:rsid w:val="00843801"/>
    <w:rsid w:val="00936C78"/>
    <w:rsid w:val="00A3395D"/>
    <w:rsid w:val="00A43FC9"/>
    <w:rsid w:val="00AF07F8"/>
    <w:rsid w:val="00B27938"/>
    <w:rsid w:val="00B46E82"/>
    <w:rsid w:val="00B9058C"/>
    <w:rsid w:val="00B90CC1"/>
    <w:rsid w:val="00B979BD"/>
    <w:rsid w:val="00BA3090"/>
    <w:rsid w:val="00C273EE"/>
    <w:rsid w:val="00C27405"/>
    <w:rsid w:val="00C321F6"/>
    <w:rsid w:val="00C33D5D"/>
    <w:rsid w:val="00C5728E"/>
    <w:rsid w:val="00C65E55"/>
    <w:rsid w:val="00C77836"/>
    <w:rsid w:val="00C80A5F"/>
    <w:rsid w:val="00D34598"/>
    <w:rsid w:val="00DA5360"/>
    <w:rsid w:val="00DC313E"/>
    <w:rsid w:val="00DD2AB5"/>
    <w:rsid w:val="00E4139C"/>
    <w:rsid w:val="00E95229"/>
    <w:rsid w:val="00EE78B3"/>
    <w:rsid w:val="00F057CC"/>
    <w:rsid w:val="00F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3818"/>
  <w15:chartTrackingRefBased/>
  <w15:docId w15:val="{96AC990E-B19E-4CBB-8993-D0C57A8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B4471"/>
    <w:pPr>
      <w:keepNext/>
      <w:outlineLvl w:val="0"/>
    </w:pPr>
    <w:rPr>
      <w:rFonts w:ascii="Arial" w:hAnsi="Arial" w:cs="Arial"/>
      <w:b/>
      <w:bCs/>
      <w:sz w:val="20"/>
    </w:rPr>
  </w:style>
  <w:style w:type="paragraph" w:styleId="Naslov7">
    <w:name w:val="heading 7"/>
    <w:basedOn w:val="Normal"/>
    <w:next w:val="Normal"/>
    <w:link w:val="Naslov7Char"/>
    <w:qFormat/>
    <w:rsid w:val="003B4471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B4471"/>
    <w:rPr>
      <w:rFonts w:ascii="Arial" w:eastAsia="Times New Roman" w:hAnsi="Arial" w:cs="Arial"/>
      <w:b/>
      <w:bCs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3B4471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customStyle="1" w:styleId="xl52">
    <w:name w:val="xl52"/>
    <w:basedOn w:val="Normal"/>
    <w:rsid w:val="003B447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C74F3"/>
    <w:pPr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A846-DE58-4033-BE60-AF94B38D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53</cp:revision>
  <dcterms:created xsi:type="dcterms:W3CDTF">2022-05-12T12:17:00Z</dcterms:created>
  <dcterms:modified xsi:type="dcterms:W3CDTF">2022-10-24T11:31:00Z</dcterms:modified>
</cp:coreProperties>
</file>