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B6" w:rsidRDefault="00147495">
      <w:pPr>
        <w:spacing w:after="780"/>
        <w:ind w:right="57"/>
      </w:pPr>
      <w:r>
        <w:t>Na temelju EI.71. Statuta OS Vidovec, te čI.7.st1. i čI.8. st.9 Uredbe o sastavljanju i predaji izjave o fiskalnoj odgovornosti (NN br.95</w:t>
      </w:r>
      <w:r w:rsidR="00332547">
        <w:t>/19) ravnatelj Osnovne škole</w:t>
      </w:r>
      <w:r w:rsidR="00172418">
        <w:t xml:space="preserve"> Vidovec dana </w:t>
      </w:r>
      <w:r>
        <w:t>8.1ipnja 2020.g. donosi:</w:t>
      </w:r>
    </w:p>
    <w:p w:rsidR="005935B6" w:rsidRDefault="00147495">
      <w:pPr>
        <w:spacing w:after="612"/>
        <w:ind w:left="48" w:right="57"/>
      </w:pPr>
      <w:r>
        <w:t>PROCEDURU BLAGAJNICKOG POSLOVANJA</w:t>
      </w:r>
    </w:p>
    <w:p w:rsidR="005935B6" w:rsidRDefault="00147495">
      <w:pPr>
        <w:ind w:left="38" w:right="57"/>
      </w:pPr>
      <w:r>
        <w:t>OPĆE ODREDBE</w:t>
      </w:r>
    </w:p>
    <w:p w:rsidR="005935B6" w:rsidRDefault="00147495">
      <w:pPr>
        <w:spacing w:after="115" w:line="259" w:lineRule="auto"/>
        <w:ind w:left="10" w:right="130" w:hanging="10"/>
        <w:jc w:val="center"/>
      </w:pPr>
      <w:r>
        <w:rPr>
          <w:sz w:val="24"/>
        </w:rPr>
        <w:t>Članak 1.</w:t>
      </w:r>
    </w:p>
    <w:p w:rsidR="005935B6" w:rsidRDefault="00147495">
      <w:pPr>
        <w:spacing w:after="250"/>
        <w:ind w:left="48" w:right="149"/>
      </w:pPr>
      <w:r>
        <w:t>Ovom procedurom ureduje se organizacija blagajni</w:t>
      </w:r>
      <w:r w:rsidR="00147FFB">
        <w:t>č</w:t>
      </w:r>
      <w:r>
        <w:t>kog posl</w:t>
      </w:r>
      <w:r w:rsidR="00147FFB">
        <w:t>ovanja,</w:t>
      </w:r>
      <w:r w:rsidR="00332547">
        <w:t xml:space="preserve"> odgovornost za blagajničko posl</w:t>
      </w:r>
      <w:r w:rsidR="00147FFB">
        <w:t>ovanj</w:t>
      </w:r>
      <w:r>
        <w:t>e, evidentiranje gotovinskog prometa,</w:t>
      </w:r>
      <w:r w:rsidR="00332547">
        <w:t xml:space="preserve"> blagajniëke isprave i blagajnič</w:t>
      </w:r>
      <w:r>
        <w:t xml:space="preserve">ki maksimum, primopredaja blagajne i ostala pitanja </w:t>
      </w:r>
      <w:r w:rsidR="00332547">
        <w:t>važna za blagajnič</w:t>
      </w:r>
      <w:r>
        <w:t>ko poslovanje.</w:t>
      </w:r>
    </w:p>
    <w:p w:rsidR="005935B6" w:rsidRDefault="00147495">
      <w:pPr>
        <w:spacing w:after="214" w:line="259" w:lineRule="auto"/>
        <w:ind w:left="62" w:firstLine="0"/>
        <w:jc w:val="left"/>
      </w:pPr>
      <w:r>
        <w:rPr>
          <w:sz w:val="18"/>
        </w:rPr>
        <w:t>BLAGAJNICKE ISPRAVE</w:t>
      </w:r>
    </w:p>
    <w:p w:rsidR="005935B6" w:rsidRDefault="000A3B6B">
      <w:pPr>
        <w:spacing w:after="126" w:line="259" w:lineRule="auto"/>
        <w:ind w:left="10" w:right="101" w:hanging="10"/>
        <w:jc w:val="center"/>
      </w:pPr>
      <w:r>
        <w:rPr>
          <w:sz w:val="24"/>
        </w:rPr>
        <w:t>Č</w:t>
      </w:r>
      <w:r w:rsidR="00147495">
        <w:rPr>
          <w:sz w:val="24"/>
        </w:rPr>
        <w:t>lanak 2.</w:t>
      </w:r>
    </w:p>
    <w:p w:rsidR="005935B6" w:rsidRDefault="00147495" w:rsidP="005A2CE5">
      <w:pPr>
        <w:spacing w:after="0" w:line="240" w:lineRule="auto"/>
        <w:ind w:left="86" w:right="10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643171</wp:posOffset>
            </wp:positionH>
            <wp:positionV relativeFrom="page">
              <wp:posOffset>947973</wp:posOffset>
            </wp:positionV>
            <wp:extent cx="18289" cy="18289"/>
            <wp:effectExtent l="0" t="0" r="0" b="0"/>
            <wp:wrapSquare wrapText="bothSides"/>
            <wp:docPr id="1324" name="Picture 1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Picture 13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Blaga</w:t>
      </w:r>
      <w:r w:rsidR="000A3B6B">
        <w:rPr>
          <w:sz w:val="24"/>
        </w:rPr>
        <w:t>jniëko poslovanje provodi se ruč</w:t>
      </w:r>
      <w:r>
        <w:rPr>
          <w:sz w:val="24"/>
        </w:rPr>
        <w:t>no. Promet gotovog novca u blagajni</w:t>
      </w:r>
      <w:r w:rsidR="005A2CE5">
        <w:rPr>
          <w:sz w:val="24"/>
        </w:rPr>
        <w:t xml:space="preserve"> evidentira se t</w:t>
      </w:r>
      <w:r w:rsidR="000A3B6B">
        <w:rPr>
          <w:sz w:val="24"/>
        </w:rPr>
        <w:t>emeljem slijedećih isprava: - blagajnič</w:t>
      </w:r>
      <w:r>
        <w:rPr>
          <w:sz w:val="24"/>
        </w:rPr>
        <w:t>ke uplatnice</w:t>
      </w:r>
      <w:r w:rsidR="000A3B6B">
        <w:rPr>
          <w:sz w:val="24"/>
        </w:rPr>
        <w:t>,</w:t>
      </w:r>
      <w:r w:rsidR="000A3B6B">
        <w:rPr>
          <w:noProof/>
        </w:rPr>
        <w:t xml:space="preserve"> </w:t>
      </w:r>
      <w:r w:rsidR="000A3B6B">
        <w:rPr>
          <w:sz w:val="24"/>
        </w:rPr>
        <w:t>blagajnič</w:t>
      </w:r>
      <w:r>
        <w:rPr>
          <w:sz w:val="24"/>
        </w:rPr>
        <w:t>ke isplatnice</w:t>
      </w:r>
      <w:r w:rsidR="000A3B6B">
        <w:rPr>
          <w:sz w:val="24"/>
        </w:rPr>
        <w:t>,</w:t>
      </w:r>
      <w:r w:rsidR="000A3B6B">
        <w:t xml:space="preserve"> blagajnič</w:t>
      </w:r>
      <w:r>
        <w:t>kog izvještaja</w:t>
      </w:r>
    </w:p>
    <w:p w:rsidR="005935B6" w:rsidRDefault="005A2CE5">
      <w:pPr>
        <w:spacing w:after="151" w:line="259" w:lineRule="auto"/>
        <w:ind w:left="10" w:right="53" w:hanging="10"/>
        <w:jc w:val="center"/>
      </w:pPr>
      <w:r>
        <w:rPr>
          <w:sz w:val="24"/>
        </w:rPr>
        <w:t>Č</w:t>
      </w:r>
      <w:r w:rsidR="00147495">
        <w:rPr>
          <w:sz w:val="24"/>
        </w:rPr>
        <w:t>lanak 3.</w:t>
      </w:r>
    </w:p>
    <w:p w:rsidR="005935B6" w:rsidRDefault="00174E97">
      <w:pPr>
        <w:spacing w:after="89" w:line="221" w:lineRule="auto"/>
        <w:ind w:left="86" w:right="100" w:hanging="10"/>
      </w:pPr>
      <w:r>
        <w:rPr>
          <w:sz w:val="24"/>
        </w:rPr>
        <w:t>Blagajnič</w:t>
      </w:r>
      <w:r w:rsidR="00147495">
        <w:rPr>
          <w:sz w:val="24"/>
        </w:rPr>
        <w:t xml:space="preserve">ka uplatnica je dokument koji prati uplatu ili primitak novca u blagajnu. Ispostavlja se za svaku pojedinatnu uplatu novca u blagajnu. Na </w:t>
      </w:r>
      <w:r>
        <w:rPr>
          <w:sz w:val="24"/>
        </w:rPr>
        <w:t>uplatnici mora biti jasno naznač</w:t>
      </w:r>
      <w:r w:rsidR="00147495">
        <w:rPr>
          <w:sz w:val="24"/>
        </w:rPr>
        <w:t>ena svrha uplate. Blagajnik prima uplatu gotovog novca u blagajnu po nalogu uplatitelja. Ispostavlja se u 3 primjerk</w:t>
      </w:r>
      <w:r>
        <w:rPr>
          <w:sz w:val="24"/>
        </w:rPr>
        <w:t>a, original se predaje uplatitel</w:t>
      </w:r>
      <w:r w:rsidR="00147495">
        <w:rPr>
          <w:sz w:val="24"/>
        </w:rPr>
        <w:t>ju gotovog novca, kopija s vjerodostojnom dokumentacijom prilaže se uz blagajniëki izvještaj, a treéi primjerak</w:t>
      </w:r>
      <w:r>
        <w:rPr>
          <w:sz w:val="24"/>
        </w:rPr>
        <w:t xml:space="preserve"> ostaje u bl</w:t>
      </w:r>
      <w:r w:rsidR="00147495">
        <w:rPr>
          <w:sz w:val="24"/>
        </w:rPr>
        <w:t>oku.</w:t>
      </w:r>
    </w:p>
    <w:p w:rsidR="005935B6" w:rsidRDefault="008330B4">
      <w:pPr>
        <w:spacing w:after="151" w:line="259" w:lineRule="auto"/>
        <w:ind w:left="10" w:right="24" w:hanging="10"/>
        <w:jc w:val="center"/>
      </w:pPr>
      <w:r>
        <w:rPr>
          <w:sz w:val="24"/>
        </w:rPr>
        <w:t>Č</w:t>
      </w:r>
      <w:r w:rsidR="00147495">
        <w:rPr>
          <w:sz w:val="24"/>
        </w:rPr>
        <w:t>lanak 4.</w:t>
      </w:r>
    </w:p>
    <w:p w:rsidR="005935B6" w:rsidRDefault="00147495">
      <w:pPr>
        <w:spacing w:after="148" w:line="221" w:lineRule="auto"/>
        <w:ind w:left="86" w:right="100" w:hanging="10"/>
      </w:pPr>
      <w:r>
        <w:rPr>
          <w:sz w:val="24"/>
        </w:rPr>
        <w:t xml:space="preserve">Blagajnitka isplatnica je dokument koji prati isplatu ili </w:t>
      </w:r>
      <w:r w:rsidR="00514EF2">
        <w:rPr>
          <w:sz w:val="24"/>
        </w:rPr>
        <w:t>izlaz gotovog novca iz blagajne.</w:t>
      </w:r>
      <w:r>
        <w:rPr>
          <w:sz w:val="24"/>
        </w:rPr>
        <w:t xml:space="preserve"> I</w:t>
      </w:r>
      <w:r w:rsidR="00350C2E">
        <w:rPr>
          <w:sz w:val="24"/>
        </w:rPr>
        <w:t>spostavlja se za svaku pojedinač</w:t>
      </w:r>
      <w:r>
        <w:rPr>
          <w:sz w:val="24"/>
        </w:rPr>
        <w:t>nu isplatu gotovog novc</w:t>
      </w:r>
      <w:r w:rsidR="00B925F3">
        <w:rPr>
          <w:sz w:val="24"/>
        </w:rPr>
        <w:t>a iz blagajne, a zbroj svih ispl</w:t>
      </w:r>
      <w:r>
        <w:rPr>
          <w:sz w:val="24"/>
        </w:rPr>
        <w:t>atnica predstavlja smanjenje novca u blagajni. Ispostavlja se u dva primjerka, original isplatnice s vjerodostojnom dokumentacijom prilaže se uz blagajn</w:t>
      </w:r>
      <w:r w:rsidR="00514EF2">
        <w:rPr>
          <w:sz w:val="24"/>
        </w:rPr>
        <w:t>ič</w:t>
      </w:r>
      <w:r w:rsidR="00804864">
        <w:rPr>
          <w:sz w:val="24"/>
        </w:rPr>
        <w:t>ki izvještaj, kopija blagajnič</w:t>
      </w:r>
      <w:r>
        <w:rPr>
          <w:sz w:val="24"/>
        </w:rPr>
        <w:t>ke isplatnice ostaje u bloku.</w:t>
      </w:r>
    </w:p>
    <w:p w:rsidR="005935B6" w:rsidRDefault="008330B4">
      <w:pPr>
        <w:spacing w:after="170" w:line="259" w:lineRule="auto"/>
        <w:ind w:left="452" w:right="413" w:hanging="10"/>
        <w:jc w:val="center"/>
      </w:pPr>
      <w:r>
        <w:t>Č</w:t>
      </w:r>
      <w:r w:rsidR="00147495">
        <w:t>lanak 5.</w:t>
      </w:r>
    </w:p>
    <w:p w:rsidR="005935B6" w:rsidRDefault="00514EF2">
      <w:pPr>
        <w:spacing w:after="10"/>
        <w:ind w:left="130" w:right="57"/>
      </w:pPr>
      <w:r>
        <w:t>Blagajnič</w:t>
      </w:r>
      <w:r w:rsidR="00147495">
        <w:t>ke uplat</w:t>
      </w:r>
      <w:r>
        <w:t>nice i isplatnice formalno udov</w:t>
      </w:r>
      <w:r w:rsidR="00A44103">
        <w:t>o</w:t>
      </w:r>
      <w:r>
        <w:t>l</w:t>
      </w:r>
      <w:r w:rsidR="00147495">
        <w:t>javaju potrebnim elementima:</w:t>
      </w:r>
    </w:p>
    <w:p w:rsidR="009C3206" w:rsidRPr="009C3206" w:rsidRDefault="009C3206" w:rsidP="00290491">
      <w:pPr>
        <w:pStyle w:val="Odlomakpopisa"/>
        <w:numPr>
          <w:ilvl w:val="0"/>
          <w:numId w:val="4"/>
        </w:numPr>
        <w:spacing w:after="207" w:line="221" w:lineRule="auto"/>
        <w:ind w:left="360" w:right="4484" w:firstLine="0"/>
      </w:pPr>
      <w:r w:rsidRPr="009C3206">
        <w:rPr>
          <w:sz w:val="24"/>
        </w:rPr>
        <w:t>naziv i redni broj blagajnič</w:t>
      </w:r>
      <w:r w:rsidR="00147495" w:rsidRPr="009C3206">
        <w:rPr>
          <w:sz w:val="24"/>
        </w:rPr>
        <w:t>ke isprave</w:t>
      </w:r>
    </w:p>
    <w:p w:rsidR="009C3206" w:rsidRPr="009C3206" w:rsidRDefault="009C3206" w:rsidP="00E9026E">
      <w:pPr>
        <w:pStyle w:val="Odlomakpopisa"/>
        <w:numPr>
          <w:ilvl w:val="0"/>
          <w:numId w:val="4"/>
        </w:numPr>
        <w:spacing w:after="207" w:line="221" w:lineRule="auto"/>
        <w:ind w:left="360" w:right="4484" w:firstLine="0"/>
        <w:rPr>
          <w:noProof/>
        </w:rPr>
      </w:pPr>
      <w:r w:rsidRPr="009C3206">
        <w:rPr>
          <w:sz w:val="24"/>
        </w:rPr>
        <w:t xml:space="preserve"> iznos uplate ili isplate</w:t>
      </w:r>
    </w:p>
    <w:p w:rsidR="009C3206" w:rsidRPr="009C3206" w:rsidRDefault="00147495" w:rsidP="0069022A">
      <w:pPr>
        <w:pStyle w:val="Odlomakpopisa"/>
        <w:numPr>
          <w:ilvl w:val="0"/>
          <w:numId w:val="4"/>
        </w:numPr>
        <w:spacing w:after="207" w:line="221" w:lineRule="auto"/>
        <w:ind w:left="360" w:right="4484" w:firstLine="0"/>
      </w:pPr>
      <w:r w:rsidRPr="009C3206">
        <w:rPr>
          <w:sz w:val="24"/>
        </w:rPr>
        <w:t xml:space="preserve">kratak </w:t>
      </w:r>
      <w:r w:rsidR="009C3206" w:rsidRPr="009C3206">
        <w:rPr>
          <w:sz w:val="24"/>
        </w:rPr>
        <w:t>o</w:t>
      </w:r>
      <w:r w:rsidRPr="009C3206">
        <w:rPr>
          <w:sz w:val="24"/>
        </w:rPr>
        <w:t>pis nov</w:t>
      </w:r>
      <w:r w:rsidR="009C3206" w:rsidRPr="009C3206">
        <w:rPr>
          <w:sz w:val="24"/>
        </w:rPr>
        <w:t>č</w:t>
      </w:r>
      <w:r w:rsidRPr="009C3206">
        <w:rPr>
          <w:sz w:val="24"/>
        </w:rPr>
        <w:t>ane transakcije</w:t>
      </w:r>
    </w:p>
    <w:p w:rsidR="009C3206" w:rsidRPr="009C3206" w:rsidRDefault="00147495" w:rsidP="008C1A03">
      <w:pPr>
        <w:pStyle w:val="Odlomakpopisa"/>
        <w:numPr>
          <w:ilvl w:val="0"/>
          <w:numId w:val="4"/>
        </w:numPr>
        <w:spacing w:after="207" w:line="221" w:lineRule="auto"/>
        <w:ind w:left="360" w:right="114" w:firstLine="0"/>
      </w:pPr>
      <w:r w:rsidRPr="009C3206">
        <w:rPr>
          <w:sz w:val="24"/>
        </w:rPr>
        <w:t>mj</w:t>
      </w:r>
      <w:r w:rsidR="009C3206" w:rsidRPr="009C3206">
        <w:rPr>
          <w:sz w:val="24"/>
        </w:rPr>
        <w:t>esto i datum izdavanja blagajnič</w:t>
      </w:r>
      <w:r w:rsidRPr="009C3206">
        <w:rPr>
          <w:sz w:val="24"/>
        </w:rPr>
        <w:t xml:space="preserve">ke </w:t>
      </w:r>
      <w:r w:rsidR="009C3206" w:rsidRPr="009C3206">
        <w:rPr>
          <w:sz w:val="24"/>
        </w:rPr>
        <w:t>isprave</w:t>
      </w:r>
      <w:r w:rsidRPr="009C3206">
        <w:rPr>
          <w:sz w:val="24"/>
        </w:rPr>
        <w:t xml:space="preserve"> </w:t>
      </w:r>
    </w:p>
    <w:p w:rsidR="005935B6" w:rsidRDefault="00147495" w:rsidP="00985EF0">
      <w:pPr>
        <w:pStyle w:val="Odlomakpopisa"/>
        <w:numPr>
          <w:ilvl w:val="0"/>
          <w:numId w:val="4"/>
        </w:numPr>
        <w:spacing w:after="207" w:line="221" w:lineRule="auto"/>
        <w:ind w:left="360" w:right="4484" w:firstLine="0"/>
      </w:pPr>
      <w:r w:rsidRPr="009C3206">
        <w:rPr>
          <w:sz w:val="24"/>
        </w:rPr>
        <w:t>potpis ov</w:t>
      </w:r>
      <w:r w:rsidR="009C3206">
        <w:rPr>
          <w:sz w:val="24"/>
        </w:rPr>
        <w:t>lašt</w:t>
      </w:r>
      <w:r w:rsidRPr="009C3206">
        <w:rPr>
          <w:sz w:val="24"/>
        </w:rPr>
        <w:t>enih osoba</w:t>
      </w:r>
    </w:p>
    <w:p w:rsidR="005935B6" w:rsidRDefault="00147495">
      <w:pPr>
        <w:spacing w:after="101" w:line="259" w:lineRule="auto"/>
        <w:ind w:left="452" w:hanging="10"/>
        <w:jc w:val="center"/>
      </w:pPr>
      <w:r>
        <w:t>Članak 6.</w:t>
      </w:r>
    </w:p>
    <w:p w:rsidR="005935B6" w:rsidRDefault="00147495" w:rsidP="0043509A">
      <w:pPr>
        <w:spacing w:line="250" w:lineRule="auto"/>
        <w:ind w:left="0" w:firstLine="6"/>
      </w:pPr>
      <w:r>
        <w:t>Blagajnički izvještaj je isprava u koju se kronološkim redom unose sve blagajničke uplatnice i</w:t>
      </w:r>
      <w:r w:rsidR="006D0369">
        <w:t xml:space="preserve"> blagajničke isplatnice za određ</w:t>
      </w:r>
      <w:r>
        <w:t>eno razdoblje. Blagajnički izvještaj sastavlja se jednom mjesečno.</w:t>
      </w:r>
    </w:p>
    <w:p w:rsidR="005935B6" w:rsidRDefault="00147495" w:rsidP="00027B77">
      <w:pPr>
        <w:spacing w:after="183"/>
        <w:ind w:left="0" w:right="57"/>
      </w:pPr>
      <w:r>
        <w:t>Blagajnički izvještaj sadrži slijedeće podatke:</w:t>
      </w:r>
      <w:r w:rsidR="00027B77">
        <w:t xml:space="preserve"> </w:t>
      </w:r>
      <w:r>
        <w:t>razdoblje za koje se sastavlja</w:t>
      </w:r>
      <w:r w:rsidR="00027B77">
        <w:rPr>
          <w:noProof/>
        </w:rPr>
        <w:t>,</w:t>
      </w:r>
      <w:r w:rsidR="00027B77">
        <w:t xml:space="preserve"> datum transakcije,</w:t>
      </w:r>
      <w:r w:rsidR="006D0369">
        <w:t xml:space="preserve"> broj knjigovodstvene i</w:t>
      </w:r>
      <w:r>
        <w:t>sprave</w:t>
      </w:r>
      <w:r w:rsidR="00027B77">
        <w:rPr>
          <w:noProof/>
        </w:rPr>
        <w:t>,</w:t>
      </w:r>
      <w:r>
        <w:t xml:space="preserve"> kratak opis novčane transakcije</w:t>
      </w:r>
      <w:r w:rsidR="00027B77">
        <w:rPr>
          <w:noProof/>
        </w:rPr>
        <w:t>,</w:t>
      </w:r>
      <w:r>
        <w:t xml:space="preserve"> iznos primitka i izdatka gotovog novca</w:t>
      </w:r>
      <w:r w:rsidR="00027B77">
        <w:rPr>
          <w:noProof/>
        </w:rPr>
        <w:t>,</w:t>
      </w:r>
      <w:r>
        <w:t xml:space="preserve"> zaključak blagajničkog izvještaja koji se sastoji od početnog stanja blagajne, ukupnog prometa te stanje novca na kraju razdoblja za koje se sastavlja blagajnički izvještaj</w:t>
      </w:r>
      <w:r w:rsidR="00027B77">
        <w:rPr>
          <w:noProof/>
        </w:rPr>
        <w:t>,</w:t>
      </w:r>
      <w:r>
        <w:t xml:space="preserve"> specifikaciju gotovog novca</w:t>
      </w:r>
      <w:r w:rsidR="004940F1">
        <w:t>.</w:t>
      </w:r>
    </w:p>
    <w:p w:rsidR="005935B6" w:rsidRDefault="00147495">
      <w:pPr>
        <w:spacing w:after="145" w:line="259" w:lineRule="auto"/>
        <w:ind w:left="452" w:right="322" w:hanging="10"/>
        <w:jc w:val="center"/>
      </w:pPr>
      <w:r>
        <w:lastRenderedPageBreak/>
        <w:t>Članak 7.</w:t>
      </w:r>
    </w:p>
    <w:p w:rsidR="005935B6" w:rsidRDefault="00147495">
      <w:pPr>
        <w:spacing w:after="161"/>
        <w:ind w:left="196" w:right="57"/>
      </w:pPr>
      <w:r>
        <w:t>Blagajničkom izvještaju prilažu se blagajničke uplatnice i isplatnice te druga vjerodostojna dokumentacija temeljem koje su provedene isplate i uplate gotovog novca u blagajni. Potpisuje ga blagajnik.</w:t>
      </w:r>
    </w:p>
    <w:p w:rsidR="005935B6" w:rsidRDefault="00147495">
      <w:pPr>
        <w:spacing w:after="145" w:line="259" w:lineRule="auto"/>
        <w:ind w:left="452" w:right="336" w:hanging="10"/>
        <w:jc w:val="center"/>
      </w:pPr>
      <w:r>
        <w:t>Članak 8.</w:t>
      </w:r>
    </w:p>
    <w:p w:rsidR="005935B6" w:rsidRDefault="00147495">
      <w:pPr>
        <w:spacing w:after="375"/>
        <w:ind w:left="196" w:right="57"/>
      </w:pPr>
      <w:r>
        <w:t>Kod zaključka blagajne i sastavljanja blagajničkog izvještaja, novo stanje bla</w:t>
      </w:r>
      <w:r w:rsidR="000A316F">
        <w:t>gajne mora odgovarati stvarnom s</w:t>
      </w:r>
      <w:r>
        <w:t>tanju gotovog novca. Utvrđivanje stvarnog stanja blagajne obavlja se na kraju svakog radnog dana. Za te potrebe sastavlja se specifikacija gotovog novca po vrsti i apoenima.</w:t>
      </w:r>
    </w:p>
    <w:p w:rsidR="005935B6" w:rsidRDefault="00147495">
      <w:pPr>
        <w:spacing w:after="166"/>
        <w:ind w:left="196" w:right="57"/>
      </w:pPr>
      <w:r>
        <w:t>BLAGAJNIČKI MAKSIMUM</w:t>
      </w:r>
    </w:p>
    <w:p w:rsidR="005935B6" w:rsidRDefault="00147495">
      <w:pPr>
        <w:spacing w:after="145" w:line="259" w:lineRule="auto"/>
        <w:ind w:left="452" w:right="331" w:hanging="10"/>
        <w:jc w:val="center"/>
      </w:pPr>
      <w:r>
        <w:t>Članak 9.</w:t>
      </w:r>
    </w:p>
    <w:p w:rsidR="005935B6" w:rsidRDefault="00147495">
      <w:pPr>
        <w:spacing w:after="162" w:line="221" w:lineRule="auto"/>
        <w:ind w:left="212" w:right="100" w:hanging="10"/>
      </w:pPr>
      <w:r>
        <w:rPr>
          <w:sz w:val="24"/>
        </w:rPr>
        <w:t>Blagajnički maksimum je maksimalan iznos gotovog novca koji se može zadržati u blagajni na kraju radnog dana.</w:t>
      </w:r>
    </w:p>
    <w:p w:rsidR="005935B6" w:rsidRDefault="00147495">
      <w:pPr>
        <w:spacing w:after="145" w:line="259" w:lineRule="auto"/>
        <w:ind w:left="452" w:right="302" w:hanging="10"/>
        <w:jc w:val="center"/>
      </w:pPr>
      <w:r>
        <w:t>Članak 10.</w:t>
      </w:r>
    </w:p>
    <w:p w:rsidR="005935B6" w:rsidRDefault="00147495">
      <w:pPr>
        <w:spacing w:after="130" w:line="259" w:lineRule="auto"/>
        <w:ind w:left="202" w:hanging="10"/>
        <w:jc w:val="left"/>
      </w:pPr>
      <w:r>
        <w:t>Za potrebe redovitog poslovanja utvrđuje se b</w:t>
      </w:r>
      <w:r w:rsidR="009C3206">
        <w:t>l</w:t>
      </w:r>
      <w:r>
        <w:t>agajnički maksimum u iznosu od</w:t>
      </w:r>
      <w:r w:rsidR="009C3206">
        <w:t xml:space="preserve"> 50.000,00 kuna.</w:t>
      </w:r>
      <w:r>
        <w:t xml:space="preserve"> </w:t>
      </w:r>
    </w:p>
    <w:p w:rsidR="005935B6" w:rsidRDefault="00147495">
      <w:pPr>
        <w:spacing w:after="119" w:line="259" w:lineRule="auto"/>
        <w:ind w:left="452" w:right="326" w:hanging="10"/>
        <w:jc w:val="center"/>
      </w:pPr>
      <w:r>
        <w:t>Članak 11.</w:t>
      </w:r>
    </w:p>
    <w:p w:rsidR="005935B6" w:rsidRDefault="00147495">
      <w:pPr>
        <w:spacing w:after="590"/>
        <w:ind w:left="196" w:right="57"/>
      </w:pPr>
      <w:r>
        <w:t xml:space="preserve">lznos gotovog novca preko visine blagajničkog maksimuma od </w:t>
      </w:r>
      <w:r w:rsidR="009C3206">
        <w:t>5</w:t>
      </w:r>
      <w:r>
        <w:t>0.000,00 kuna potrebno je do kraja radnog dana položiti na transakcijski rařun</w:t>
      </w:r>
      <w:r>
        <w:rPr>
          <w:noProof/>
        </w:rPr>
        <w:drawing>
          <wp:inline distT="0" distB="0" distL="0" distR="0">
            <wp:extent cx="15241" cy="15241"/>
            <wp:effectExtent l="0" t="0" r="0" b="0"/>
            <wp:docPr id="3023" name="Picture 3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" name="Picture 30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5B6" w:rsidRDefault="00147495">
      <w:pPr>
        <w:ind w:left="196" w:right="57"/>
      </w:pPr>
      <w:r>
        <w:t>UPLATE GOTOVOG NOVCA U BLAGAJNU</w:t>
      </w:r>
    </w:p>
    <w:p w:rsidR="005935B6" w:rsidRDefault="00147495">
      <w:pPr>
        <w:spacing w:after="145" w:line="259" w:lineRule="auto"/>
        <w:ind w:left="452" w:right="317" w:hanging="10"/>
        <w:jc w:val="center"/>
      </w:pPr>
      <w:r>
        <w:t>Članak 12.</w:t>
      </w:r>
    </w:p>
    <w:p w:rsidR="005935B6" w:rsidRDefault="00147495">
      <w:pPr>
        <w:spacing w:after="78"/>
        <w:ind w:left="196" w:right="57"/>
      </w:pPr>
      <w:r>
        <w:t>U blagajnu O</w:t>
      </w:r>
      <w:r w:rsidR="006C0807">
        <w:t>snovne škole</w:t>
      </w:r>
      <w:r>
        <w:t xml:space="preserve"> </w:t>
      </w:r>
      <w:r w:rsidR="00B323BD">
        <w:t>Vidovec</w:t>
      </w:r>
      <w:r>
        <w:t xml:space="preserve"> evidentiraju se slijedeće uplate:</w:t>
      </w:r>
    </w:p>
    <w:p w:rsidR="005935B6" w:rsidRDefault="00147495" w:rsidP="005E3A7E">
      <w:pPr>
        <w:pStyle w:val="Odlomakpopisa"/>
        <w:numPr>
          <w:ilvl w:val="0"/>
          <w:numId w:val="4"/>
        </w:numPr>
        <w:spacing w:line="250" w:lineRule="auto"/>
      </w:pPr>
      <w:r>
        <w:t>podignuta gotovina s transakcijskog računa</w:t>
      </w:r>
      <w:r w:rsidR="005E3A7E">
        <w:t>,</w:t>
      </w:r>
      <w:r>
        <w:t xml:space="preserve"> uplata gotovog novca za potraživanja po izlaznim računima</w:t>
      </w:r>
      <w:r w:rsidR="005E3A7E">
        <w:rPr>
          <w:noProof/>
        </w:rPr>
        <w:t>,</w:t>
      </w:r>
      <w:r>
        <w:t xml:space="preserve"> participacija za prehranu učenika</w:t>
      </w:r>
    </w:p>
    <w:p w:rsidR="005935B6" w:rsidRDefault="00147495" w:rsidP="005E3A7E">
      <w:pPr>
        <w:pStyle w:val="Odlomakpopisa"/>
        <w:numPr>
          <w:ilvl w:val="0"/>
          <w:numId w:val="4"/>
        </w:numPr>
        <w:ind w:right="-28"/>
      </w:pPr>
      <w:r>
        <w:t>uplata za prehranu zaposlenika</w:t>
      </w:r>
      <w:r w:rsidR="005E3A7E">
        <w:rPr>
          <w:noProof/>
        </w:rPr>
        <w:t>,</w:t>
      </w:r>
      <w:r>
        <w:t xml:space="preserve"> uplate za izvanučioničku nastavu</w:t>
      </w:r>
      <w:r w:rsidR="005E3A7E">
        <w:rPr>
          <w:noProof/>
        </w:rPr>
        <w:t>,</w:t>
      </w:r>
      <w:r>
        <w:t xml:space="preserve"> ostałe uplate gotovog novca u svezi obavljanja djelatnosti</w:t>
      </w:r>
    </w:p>
    <w:p w:rsidR="005935B6" w:rsidRDefault="00147495">
      <w:pPr>
        <w:spacing w:after="145" w:line="259" w:lineRule="auto"/>
        <w:ind w:left="452" w:right="331" w:hanging="10"/>
        <w:jc w:val="center"/>
      </w:pPr>
      <w:r>
        <w:t>Članak 13.</w:t>
      </w:r>
    </w:p>
    <w:p w:rsidR="005935B6" w:rsidRDefault="00147495">
      <w:pPr>
        <w:ind w:left="196" w:right="57"/>
      </w:pPr>
      <w:r>
        <w:t>Blagajnik prima uplatu gotovog novca u blagajnu po nałogu uplatitelja. Primljenu dokumentaciju temeljem koje će se izvrśiti uplata gotovog novca kontrolira formalno, računski i suštinski. Provjerava ispravnost primljenih novčanica i kovanog novca. Ako se priliko</w:t>
      </w:r>
      <w:r w:rsidR="006C0807">
        <w:t>m</w:t>
      </w:r>
      <w:r>
        <w:t xml:space="preserve"> brojanja novca utvrdi neslaganje, błagajnik vraća viš</w:t>
      </w:r>
      <w:r w:rsidR="00DC47C1">
        <w:t>ak novca uplatitetju, traži razl</w:t>
      </w:r>
      <w:r>
        <w:t>iku od uplatitelja za manje primljeni iznos. Ako uplatitelj ne može predati razliku novca blagajnik vraća uplatitelju cijeli iznos primljenog novca i primljene knjigovodstvene isprave.</w:t>
      </w:r>
    </w:p>
    <w:p w:rsidR="005935B6" w:rsidRDefault="00DA7182">
      <w:pPr>
        <w:spacing w:after="145" w:line="259" w:lineRule="auto"/>
        <w:ind w:left="452" w:right="307" w:hanging="10"/>
        <w:jc w:val="center"/>
      </w:pPr>
      <w:r>
        <w:t>Č</w:t>
      </w:r>
      <w:r w:rsidR="00147495">
        <w:t>lanak 14.</w:t>
      </w:r>
    </w:p>
    <w:p w:rsidR="00EF378A" w:rsidRDefault="00147495">
      <w:pPr>
        <w:ind w:left="196" w:right="57"/>
      </w:pPr>
      <w:r>
        <w:t>Za ispravno utvrdeni iznos blagajnik ispostavlja i potpisuje blagajničku uplatnicu te ju potpisuje i uplatitelj novca. Na uplatnici mora biti jasno naznačena svrha uplate. Primljen gotov novac blagajnik razvrstava po apoenima i odlaže u metalnu kasu</w:t>
      </w:r>
      <w:r w:rsidR="00E3503D">
        <w:t>.</w:t>
      </w:r>
    </w:p>
    <w:p w:rsidR="00E3503D" w:rsidRDefault="00E3503D">
      <w:pPr>
        <w:ind w:left="196" w:right="57"/>
      </w:pPr>
    </w:p>
    <w:p w:rsidR="00E3503D" w:rsidRDefault="00E3503D">
      <w:pPr>
        <w:ind w:left="196" w:right="57"/>
      </w:pPr>
    </w:p>
    <w:p w:rsidR="00E3503D" w:rsidRDefault="00E3503D">
      <w:pPr>
        <w:ind w:left="196" w:right="57"/>
      </w:pPr>
    </w:p>
    <w:p w:rsidR="005935B6" w:rsidRDefault="00147495">
      <w:pPr>
        <w:ind w:left="196" w:right="57"/>
      </w:pPr>
      <w:r>
        <w:lastRenderedPageBreak/>
        <w:t>ISPLATE GOTOVOG NOVCA IZ BLAGAJNE</w:t>
      </w:r>
    </w:p>
    <w:p w:rsidR="005935B6" w:rsidRDefault="00147495">
      <w:pPr>
        <w:spacing w:after="145" w:line="259" w:lineRule="auto"/>
        <w:ind w:left="452" w:right="283" w:hanging="10"/>
        <w:jc w:val="center"/>
      </w:pPr>
      <w:r>
        <w:t>Članak 15.</w:t>
      </w:r>
    </w:p>
    <w:p w:rsidR="005935B6" w:rsidRDefault="00147495">
      <w:pPr>
        <w:ind w:left="196" w:right="57"/>
      </w:pPr>
      <w:r>
        <w:t>Iz blagajne O</w:t>
      </w:r>
      <w:r w:rsidR="006C0807">
        <w:t>snovne škole</w:t>
      </w:r>
      <w:r>
        <w:t xml:space="preserve"> </w:t>
      </w:r>
      <w:r w:rsidR="00EF378A">
        <w:t>Vidovec</w:t>
      </w:r>
      <w:r>
        <w:t xml:space="preserve"> evidentiraju se slijedeće isplate:</w:t>
      </w:r>
    </w:p>
    <w:p w:rsidR="005935B6" w:rsidRDefault="00147495" w:rsidP="000A7721">
      <w:pPr>
        <w:pStyle w:val="Odlomakpopisa"/>
        <w:numPr>
          <w:ilvl w:val="0"/>
          <w:numId w:val="4"/>
        </w:numPr>
        <w:spacing w:after="162"/>
        <w:ind w:right="57"/>
      </w:pPr>
      <w:r>
        <w:t>polog gotovog novca na transakcijski račun</w:t>
      </w:r>
      <w:r w:rsidR="000A7721">
        <w:rPr>
          <w:noProof/>
        </w:rPr>
        <w:t>, i</w:t>
      </w:r>
      <w:r w:rsidR="000A7721">
        <w:t>znimno</w:t>
      </w:r>
      <w:r>
        <w:t xml:space="preserve"> po odobrenju ovlaštene osobe isplata nagrada, potpora, naknada i drugih neoporezivih primitaka radnika</w:t>
      </w:r>
      <w:r w:rsidR="000A7721">
        <w:rPr>
          <w:noProof/>
        </w:rPr>
        <w:t>,</w:t>
      </w:r>
      <w:r>
        <w:t xml:space="preserve"> isplate za odredene materijalne troškove</w:t>
      </w:r>
      <w:r w:rsidR="003A21ED">
        <w:t xml:space="preserve"> do iznosa 500,00 kuna po računu, </w:t>
      </w:r>
      <w:r>
        <w:t>otkup poljoprivrednih proizvoda po otkupnom bloku.</w:t>
      </w:r>
    </w:p>
    <w:p w:rsidR="005935B6" w:rsidRDefault="00AE596D">
      <w:pPr>
        <w:spacing w:after="173" w:line="259" w:lineRule="auto"/>
        <w:ind w:left="452" w:right="254" w:hanging="10"/>
        <w:jc w:val="center"/>
      </w:pPr>
      <w:r>
        <w:t>Čl</w:t>
      </w:r>
      <w:r w:rsidR="00147495">
        <w:t>anak 16.</w:t>
      </w:r>
    </w:p>
    <w:p w:rsidR="005935B6" w:rsidRDefault="00147495">
      <w:pPr>
        <w:spacing w:after="181" w:line="221" w:lineRule="auto"/>
        <w:ind w:left="255" w:right="24" w:hanging="10"/>
      </w:pPr>
      <w:r>
        <w:rPr>
          <w:sz w:val="24"/>
        </w:rPr>
        <w:t>Isplata nagrada, potpora, naknada i drugih primitaka koji se ne smatraju i ne oporezuju kao dohodak mogu se isplatiti putem blagajne ako je to dopušteno odredbama Pravilnika o porezu na dohodak. Isplatu putem gotovog novca u blagajni odobrava čelnik ili druga ovlaštena osoba svojim potpisom na dokumentu.</w:t>
      </w:r>
    </w:p>
    <w:p w:rsidR="005935B6" w:rsidRDefault="00147495">
      <w:pPr>
        <w:spacing w:after="174" w:line="259" w:lineRule="auto"/>
        <w:ind w:left="452" w:right="221" w:hanging="10"/>
        <w:jc w:val="center"/>
      </w:pPr>
      <w:r>
        <w:t>Članak 17.</w:t>
      </w:r>
    </w:p>
    <w:p w:rsidR="005935B6" w:rsidRPr="008C1A03" w:rsidRDefault="00147495">
      <w:pPr>
        <w:ind w:left="196" w:right="57"/>
        <w:rPr>
          <w:sz w:val="24"/>
          <w:szCs w:val="24"/>
        </w:rPr>
      </w:pPr>
      <w:r w:rsidRPr="008C1A03">
        <w:rPr>
          <w:sz w:val="24"/>
          <w:szCs w:val="24"/>
        </w:rPr>
        <w:t>Isplate za odredene materijalne troškove do iznosa 500,00 kuna po računu/dokumentu mogu se odobriti za nabavu uredskog materijala, materija</w:t>
      </w:r>
      <w:r w:rsidR="00F407A8" w:rsidRPr="008C1A03">
        <w:rPr>
          <w:sz w:val="24"/>
          <w:szCs w:val="24"/>
        </w:rPr>
        <w:t>l</w:t>
      </w:r>
      <w:r w:rsidRPr="008C1A03">
        <w:rPr>
          <w:sz w:val="24"/>
          <w:szCs w:val="24"/>
        </w:rPr>
        <w:t>a i usługa za ugošćivanje, goriva za kosilice, cvijeće i vij</w:t>
      </w:r>
      <w:r w:rsidR="008454AE">
        <w:rPr>
          <w:sz w:val="24"/>
          <w:szCs w:val="24"/>
        </w:rPr>
        <w:t>ence, obavljene sitnije usl</w:t>
      </w:r>
      <w:r w:rsidRPr="008C1A03">
        <w:rPr>
          <w:sz w:val="24"/>
          <w:szCs w:val="24"/>
        </w:rPr>
        <w:t xml:space="preserve">uge i popravke te druge manje troškove kada uslijed </w:t>
      </w:r>
      <w:r w:rsidR="00F407A8" w:rsidRPr="008C1A03">
        <w:rPr>
          <w:sz w:val="24"/>
          <w:szCs w:val="24"/>
        </w:rPr>
        <w:t>ž</w:t>
      </w:r>
      <w:r w:rsidRPr="008C1A03">
        <w:rPr>
          <w:sz w:val="24"/>
          <w:szCs w:val="24"/>
        </w:rPr>
        <w:t>urnosti nije moguće plaćanje putem transakcijskog računa. Isplatu svojim potpisom na računu</w:t>
      </w:r>
      <w:r w:rsidR="006C0807" w:rsidRPr="008C1A03">
        <w:rPr>
          <w:sz w:val="24"/>
          <w:szCs w:val="24"/>
        </w:rPr>
        <w:t>/dokumentu odobrava ravnatelj</w:t>
      </w:r>
      <w:r w:rsidRPr="008C1A03">
        <w:rPr>
          <w:sz w:val="24"/>
          <w:szCs w:val="24"/>
        </w:rPr>
        <w:t xml:space="preserve"> ili osoba </w:t>
      </w:r>
      <w:r w:rsidR="006C0807" w:rsidRPr="008C1A03">
        <w:rPr>
          <w:sz w:val="24"/>
          <w:szCs w:val="24"/>
        </w:rPr>
        <w:t>koju pisano ovlasti ravnatelj</w:t>
      </w:r>
      <w:r w:rsidRPr="008C1A03">
        <w:rPr>
          <w:sz w:val="24"/>
          <w:szCs w:val="24"/>
        </w:rPr>
        <w:t>.</w:t>
      </w:r>
    </w:p>
    <w:p w:rsidR="005935B6" w:rsidRPr="008C1A03" w:rsidRDefault="00147495">
      <w:pPr>
        <w:spacing w:after="166" w:line="259" w:lineRule="auto"/>
        <w:ind w:left="452" w:right="197" w:hanging="10"/>
        <w:jc w:val="center"/>
        <w:rPr>
          <w:sz w:val="24"/>
          <w:szCs w:val="24"/>
        </w:rPr>
      </w:pPr>
      <w:r w:rsidRPr="008C1A03">
        <w:rPr>
          <w:sz w:val="24"/>
          <w:szCs w:val="24"/>
        </w:rPr>
        <w:t>Članak 18.</w:t>
      </w:r>
    </w:p>
    <w:p w:rsidR="005935B6" w:rsidRPr="008C1A03" w:rsidRDefault="00E236DD">
      <w:pPr>
        <w:ind w:left="196" w:right="57"/>
        <w:rPr>
          <w:sz w:val="24"/>
          <w:szCs w:val="24"/>
        </w:rPr>
      </w:pPr>
      <w:r w:rsidRPr="008C1A03">
        <w:rPr>
          <w:sz w:val="24"/>
          <w:szCs w:val="24"/>
        </w:rPr>
        <w:t>Ispl</w:t>
      </w:r>
      <w:r w:rsidR="00147495" w:rsidRPr="008C1A03">
        <w:rPr>
          <w:sz w:val="24"/>
          <w:szCs w:val="24"/>
        </w:rPr>
        <w:t>atu gotovog novc</w:t>
      </w:r>
      <w:r w:rsidRPr="008C1A03">
        <w:rPr>
          <w:sz w:val="24"/>
          <w:szCs w:val="24"/>
        </w:rPr>
        <w:t>a blagajnik obavlja samo na tem</w:t>
      </w:r>
      <w:r w:rsidR="00147495" w:rsidRPr="008C1A03">
        <w:rPr>
          <w:sz w:val="24"/>
          <w:szCs w:val="24"/>
        </w:rPr>
        <w:t>elju istinite, točne i prethodno kontrolirane vjerodostojne dokumentacije. Isp</w:t>
      </w:r>
      <w:r w:rsidRPr="008C1A03">
        <w:rPr>
          <w:sz w:val="24"/>
          <w:szCs w:val="24"/>
        </w:rPr>
        <w:t>l</w:t>
      </w:r>
      <w:r w:rsidR="00147495" w:rsidRPr="008C1A03">
        <w:rPr>
          <w:sz w:val="24"/>
          <w:szCs w:val="24"/>
        </w:rPr>
        <w:t>ata gotovog novca vrši se isključivo osobi koja je navedena na isplatnici. Ako se radi o osobi čiji identitet blagajnik ne može utvrditi potrebno je zatražiti dokument za identifikaciju ili punomo</w:t>
      </w:r>
      <w:r w:rsidRPr="008C1A03">
        <w:rPr>
          <w:sz w:val="24"/>
          <w:szCs w:val="24"/>
        </w:rPr>
        <w:t>ć</w:t>
      </w:r>
      <w:r w:rsidR="007C491F">
        <w:rPr>
          <w:sz w:val="24"/>
          <w:szCs w:val="24"/>
        </w:rPr>
        <w:t xml:space="preserve"> ako se radi o opunomoćeniku.</w:t>
      </w:r>
    </w:p>
    <w:p w:rsidR="005935B6" w:rsidRDefault="00147495">
      <w:pPr>
        <w:tabs>
          <w:tab w:val="center" w:pos="3493"/>
          <w:tab w:val="center" w:pos="4680"/>
        </w:tabs>
        <w:spacing w:after="145" w:line="259" w:lineRule="auto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21337" cy="15241"/>
            <wp:effectExtent l="0" t="0" r="0" b="0"/>
            <wp:docPr id="7034" name="Picture 7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" name="Picture 70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E236DD">
        <w:t>Č</w:t>
      </w:r>
      <w:r>
        <w:t xml:space="preserve">lanak 19.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7035" name="Picture 7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" name="Picture 70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5B6" w:rsidRDefault="00147495">
      <w:pPr>
        <w:spacing w:after="207" w:line="221" w:lineRule="auto"/>
        <w:ind w:left="86" w:right="100" w:hanging="10"/>
      </w:pPr>
      <w:r>
        <w:rPr>
          <w:sz w:val="24"/>
        </w:rPr>
        <w:t>Ispostavljenu blagajničku isplatnicu prvo potpisuje blaga</w:t>
      </w:r>
      <w:r w:rsidR="00E236DD">
        <w:rPr>
          <w:sz w:val="24"/>
        </w:rPr>
        <w:t>jnik, a zatim primatelj novca vl</w:t>
      </w:r>
      <w:r>
        <w:rPr>
          <w:sz w:val="24"/>
        </w:rPr>
        <w:t>astoručno potpisuje blagajničku isplatnicu. Nakon dobivene potpisane isplatnice blagajnik i</w:t>
      </w:r>
      <w:r w:rsidR="00E236DD">
        <w:rPr>
          <w:sz w:val="24"/>
        </w:rPr>
        <w:t>splaćuje gotov novac primatelju.</w:t>
      </w:r>
    </w:p>
    <w:p w:rsidR="005935B6" w:rsidRDefault="00147495">
      <w:pPr>
        <w:spacing w:after="166"/>
        <w:ind w:left="91" w:right="57"/>
      </w:pPr>
      <w:r>
        <w:t>ODGOVORNOST ZA BLAGAJNIČKO POSLOVANJE</w:t>
      </w:r>
    </w:p>
    <w:p w:rsidR="00273CEB" w:rsidRDefault="00147495">
      <w:pPr>
        <w:spacing w:after="16" w:line="393" w:lineRule="auto"/>
        <w:ind w:left="81" w:right="2093" w:firstLine="4090"/>
        <w:jc w:val="left"/>
      </w:pPr>
      <w:r>
        <w:t xml:space="preserve">Članak 20. </w:t>
      </w:r>
    </w:p>
    <w:p w:rsidR="005935B6" w:rsidRDefault="00273CEB" w:rsidP="00273CEB">
      <w:pPr>
        <w:spacing w:after="16" w:line="393" w:lineRule="auto"/>
        <w:ind w:left="81" w:right="2093" w:firstLine="0"/>
        <w:jc w:val="left"/>
      </w:pPr>
      <w:r>
        <w:t>Bla</w:t>
      </w:r>
      <w:r w:rsidR="00147495">
        <w:t>gajnik škole je odgovoran za uplate, isplate i stanje gotovog novca u blagajni.</w:t>
      </w:r>
    </w:p>
    <w:p w:rsidR="005935B6" w:rsidRDefault="00147495">
      <w:pPr>
        <w:spacing w:after="145" w:line="259" w:lineRule="auto"/>
        <w:ind w:left="452" w:right="494" w:hanging="10"/>
        <w:jc w:val="center"/>
      </w:pPr>
      <w:r>
        <w:t>Članak 21.</w:t>
      </w:r>
    </w:p>
    <w:p w:rsidR="005935B6" w:rsidRDefault="00147495">
      <w:pPr>
        <w:spacing w:after="207" w:line="221" w:lineRule="auto"/>
        <w:ind w:left="86" w:right="100" w:hanging="10"/>
        <w:rPr>
          <w:sz w:val="24"/>
        </w:rPr>
      </w:pPr>
      <w:r>
        <w:rPr>
          <w:sz w:val="24"/>
        </w:rPr>
        <w:t xml:space="preserve">Gotov novac drži se u kasi kojom rukuje blagajnik. Ključ od </w:t>
      </w:r>
      <w:r w:rsidR="00273CEB">
        <w:rPr>
          <w:sz w:val="24"/>
        </w:rPr>
        <w:t>kase blagajne može imati samo bl</w:t>
      </w:r>
      <w:r>
        <w:rPr>
          <w:sz w:val="24"/>
        </w:rPr>
        <w:t>agajnik, Prilikom sv</w:t>
      </w:r>
      <w:r w:rsidR="00273CEB">
        <w:rPr>
          <w:sz w:val="24"/>
        </w:rPr>
        <w:t>akog napuštanja radnog mjesta bl</w:t>
      </w:r>
      <w:r>
        <w:rPr>
          <w:sz w:val="24"/>
        </w:rPr>
        <w:t>agajnik je dužan spremiti u kasu sav gotov novac i vjerodostojnu dokumentaciju temeljem koje su toga dana provedene gotovinske transakcije te zaključati kasu.</w:t>
      </w:r>
    </w:p>
    <w:p w:rsidR="005935B6" w:rsidRDefault="00147495">
      <w:pPr>
        <w:spacing w:after="145" w:line="259" w:lineRule="auto"/>
        <w:ind w:left="452" w:right="475" w:hanging="10"/>
        <w:jc w:val="center"/>
      </w:pPr>
      <w:r>
        <w:t>Članak 22.</w:t>
      </w:r>
    </w:p>
    <w:p w:rsidR="005935B6" w:rsidRDefault="00147495">
      <w:pPr>
        <w:spacing w:after="207" w:line="221" w:lineRule="auto"/>
        <w:ind w:left="86" w:right="100" w:hanging="10"/>
        <w:rPr>
          <w:sz w:val="24"/>
        </w:rPr>
      </w:pPr>
      <w:r>
        <w:rPr>
          <w:sz w:val="24"/>
        </w:rPr>
        <w:t xml:space="preserve">Blagajnik je dužan voditi računa o </w:t>
      </w:r>
      <w:r w:rsidR="0084721C">
        <w:rPr>
          <w:sz w:val="24"/>
        </w:rPr>
        <w:t>količini potrebnog novca za isplate iz blagajne i primlj</w:t>
      </w:r>
      <w:r>
        <w:rPr>
          <w:sz w:val="24"/>
        </w:rPr>
        <w:t>enog novca u blagajnu.</w:t>
      </w:r>
    </w:p>
    <w:p w:rsidR="00C430B5" w:rsidRDefault="00C430B5">
      <w:pPr>
        <w:spacing w:after="207" w:line="221" w:lineRule="auto"/>
        <w:ind w:left="86" w:right="100" w:hanging="10"/>
      </w:pPr>
      <w:bookmarkStart w:id="0" w:name="_GoBack"/>
      <w:bookmarkEnd w:id="0"/>
    </w:p>
    <w:p w:rsidR="005935B6" w:rsidRDefault="00147495">
      <w:pPr>
        <w:spacing w:after="145" w:line="259" w:lineRule="auto"/>
        <w:ind w:left="452" w:right="485" w:hanging="10"/>
        <w:jc w:val="center"/>
      </w:pPr>
      <w:r>
        <w:lastRenderedPageBreak/>
        <w:t>Č</w:t>
      </w:r>
      <w:r w:rsidR="004C7EE4">
        <w:t>l</w:t>
      </w:r>
      <w:r>
        <w:t>anak 23.</w:t>
      </w:r>
    </w:p>
    <w:p w:rsidR="005935B6" w:rsidRDefault="00147495">
      <w:pPr>
        <w:spacing w:after="94"/>
        <w:ind w:left="101" w:right="57"/>
      </w:pPr>
      <w:r>
        <w:t>Blagajnik je dužan redovito polagati novac na transakcijski račun ovísno o blagajničkom maksimumu.</w:t>
      </w:r>
    </w:p>
    <w:p w:rsidR="005935B6" w:rsidRDefault="00147495">
      <w:pPr>
        <w:spacing w:after="160"/>
        <w:ind w:left="96" w:right="57"/>
      </w:pPr>
      <w:r>
        <w:t>PRIMOPREDAJA BLAGAJNE</w:t>
      </w:r>
    </w:p>
    <w:p w:rsidR="005935B6" w:rsidRDefault="00A55D38">
      <w:pPr>
        <w:spacing w:after="145" w:line="259" w:lineRule="auto"/>
        <w:ind w:left="452" w:right="470" w:hanging="10"/>
        <w:jc w:val="center"/>
      </w:pPr>
      <w:r>
        <w:t>Čl</w:t>
      </w:r>
      <w:r w:rsidR="00147495">
        <w:t>anak 24.</w:t>
      </w:r>
    </w:p>
    <w:p w:rsidR="00A55D38" w:rsidRDefault="005F485C">
      <w:pPr>
        <w:spacing w:after="207" w:line="221" w:lineRule="auto"/>
        <w:ind w:left="86" w:right="100" w:hanging="10"/>
        <w:rPr>
          <w:sz w:val="24"/>
        </w:rPr>
      </w:pPr>
      <w:r>
        <w:rPr>
          <w:sz w:val="24"/>
        </w:rPr>
        <w:t>U sl</w:t>
      </w:r>
      <w:r w:rsidR="00147495">
        <w:rPr>
          <w:sz w:val="24"/>
        </w:rPr>
        <w:t>učaju privremenog i</w:t>
      </w:r>
      <w:r w:rsidR="00580AFA">
        <w:rPr>
          <w:sz w:val="24"/>
        </w:rPr>
        <w:t>l</w:t>
      </w:r>
      <w:r w:rsidR="00147495">
        <w:rPr>
          <w:sz w:val="24"/>
        </w:rPr>
        <w:t>i t</w:t>
      </w:r>
      <w:r>
        <w:rPr>
          <w:sz w:val="24"/>
        </w:rPr>
        <w:t>rajnog prestanka obavljanja posl</w:t>
      </w:r>
      <w:r w:rsidR="00147495">
        <w:rPr>
          <w:sz w:val="24"/>
        </w:rPr>
        <w:t>a blagajnika potrebno je sastaviti</w:t>
      </w:r>
      <w:r>
        <w:rPr>
          <w:sz w:val="24"/>
        </w:rPr>
        <w:t xml:space="preserve"> primopredajni zapisnik koji uključuje i predaju ključa od kase.</w:t>
      </w:r>
      <w:r w:rsidR="00147495">
        <w:rPr>
          <w:sz w:val="24"/>
        </w:rPr>
        <w:t xml:space="preserve"> Dan prije odlaska blagajnika popisuje se stanje novca u blagajni i drugih vrijednosnica u blagajni te uspoređuje sa stanjem iz blagajničkog izvještaja i knjigovodstvenim stanjem. Primopredajni zapisnik potpisuje blagajnik i osoba koja preuzima blagajnu te odgovorna osoba za računovodstvo i financije</w:t>
      </w:r>
    </w:p>
    <w:p w:rsidR="005935B6" w:rsidRDefault="00147495">
      <w:pPr>
        <w:spacing w:after="207" w:line="221" w:lineRule="auto"/>
        <w:ind w:left="86" w:right="100" w:hanging="10"/>
      </w:pPr>
      <w:r>
        <w:rPr>
          <w:sz w:val="24"/>
        </w:rPr>
        <w:t>ZAVRŠNE ODREDBE</w:t>
      </w:r>
    </w:p>
    <w:p w:rsidR="005935B6" w:rsidRDefault="00A55D38">
      <w:pPr>
        <w:spacing w:after="145" w:line="259" w:lineRule="auto"/>
        <w:ind w:left="452" w:right="470" w:hanging="10"/>
        <w:jc w:val="center"/>
      </w:pPr>
      <w:r>
        <w:t>Č</w:t>
      </w:r>
      <w:r w:rsidR="00147495">
        <w:t>lanak 25</w:t>
      </w:r>
      <w:r>
        <w:t>.</w:t>
      </w:r>
    </w:p>
    <w:p w:rsidR="004469B5" w:rsidRDefault="00147495" w:rsidP="004469B5">
      <w:pPr>
        <w:spacing w:after="0" w:line="221" w:lineRule="auto"/>
        <w:ind w:left="86" w:right="100" w:hanging="10"/>
        <w:rPr>
          <w:sz w:val="24"/>
        </w:rPr>
      </w:pPr>
      <w:r>
        <w:rPr>
          <w:sz w:val="24"/>
        </w:rPr>
        <w:t>Ova procedura stupa na snagu danom d</w:t>
      </w:r>
      <w:r w:rsidR="00A55D38">
        <w:rPr>
          <w:sz w:val="24"/>
        </w:rPr>
        <w:t>onošenja, a objavit će se na ogl</w:t>
      </w:r>
      <w:r>
        <w:rPr>
          <w:sz w:val="24"/>
        </w:rPr>
        <w:t>asnoj ploči i mrežnim stranicama Škole.</w:t>
      </w:r>
    </w:p>
    <w:p w:rsidR="004469B5" w:rsidRDefault="004469B5" w:rsidP="004469B5">
      <w:pPr>
        <w:spacing w:after="0" w:line="221" w:lineRule="auto"/>
        <w:ind w:left="86" w:right="100" w:hanging="10"/>
        <w:rPr>
          <w:sz w:val="24"/>
        </w:rPr>
      </w:pPr>
    </w:p>
    <w:p w:rsidR="004469B5" w:rsidRDefault="004469B5" w:rsidP="004469B5">
      <w:pPr>
        <w:spacing w:after="0" w:line="221" w:lineRule="auto"/>
        <w:ind w:left="86" w:right="100" w:hanging="10"/>
      </w:pPr>
      <w:r>
        <w:t>KLASA: 401-01/20-01/01</w:t>
      </w:r>
    </w:p>
    <w:p w:rsidR="004469B5" w:rsidRDefault="004469B5" w:rsidP="004469B5">
      <w:pPr>
        <w:spacing w:after="0" w:line="221" w:lineRule="auto"/>
        <w:ind w:left="86" w:right="100" w:hanging="10"/>
      </w:pPr>
      <w:r>
        <w:t>URBROJ: 2186-141-01-20-1</w:t>
      </w:r>
    </w:p>
    <w:p w:rsidR="004469B5" w:rsidRDefault="004469B5" w:rsidP="004469B5">
      <w:pPr>
        <w:spacing w:after="0" w:line="221" w:lineRule="auto"/>
        <w:ind w:left="86" w:right="100" w:hanging="10"/>
      </w:pPr>
      <w:r>
        <w:t>Vidovec, 8. lipnja 2020.</w:t>
      </w:r>
    </w:p>
    <w:p w:rsidR="004469B5" w:rsidRDefault="004469B5" w:rsidP="004469B5">
      <w:pPr>
        <w:spacing w:after="673" w:line="221" w:lineRule="auto"/>
        <w:ind w:left="86" w:right="100" w:hanging="10"/>
      </w:pPr>
    </w:p>
    <w:p w:rsidR="005935B6" w:rsidRDefault="004469B5">
      <w:pPr>
        <w:ind w:left="0" w:right="758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7495">
        <w:rPr>
          <w:noProof/>
        </w:rPr>
        <w:drawing>
          <wp:inline distT="0" distB="0" distL="0" distR="0">
            <wp:extent cx="2084972" cy="1103429"/>
            <wp:effectExtent l="0" t="0" r="0" b="0"/>
            <wp:docPr id="13523" name="Picture 13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" name="Picture 135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4972" cy="110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5B6">
      <w:pgSz w:w="11900" w:h="16820"/>
      <w:pgMar w:top="1384" w:right="1094" w:bottom="1781" w:left="14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160" style="width:1.5pt;height:.75pt" coordsize="" o:spt="100" o:bullet="t" adj="0,,0" path="" stroked="f">
        <v:stroke joinstyle="miter"/>
        <v:imagedata r:id="rId1" o:title="image2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10.5pt;height:5.25pt;visibility:visible;mso-wrap-style:square" o:bullet="t">
        <v:imagedata r:id="rId2" o:title=""/>
      </v:shape>
    </w:pict>
  </w:numPicBullet>
  <w:abstractNum w:abstractNumId="0" w15:restartNumberingAfterBreak="0">
    <w:nsid w:val="4CCA31AD"/>
    <w:multiLevelType w:val="hybridMultilevel"/>
    <w:tmpl w:val="171C0A10"/>
    <w:lvl w:ilvl="0" w:tplc="D1FC5A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7D6B49"/>
    <w:multiLevelType w:val="hybridMultilevel"/>
    <w:tmpl w:val="37A046D6"/>
    <w:lvl w:ilvl="0" w:tplc="ED1A90C8">
      <w:start w:val="1"/>
      <w:numFmt w:val="bullet"/>
      <w:lvlText w:val="•"/>
      <w:lvlPicBulletId w:val="0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4EC1F0">
      <w:start w:val="1"/>
      <w:numFmt w:val="bullet"/>
      <w:lvlText w:val="o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E8745E">
      <w:start w:val="1"/>
      <w:numFmt w:val="bullet"/>
      <w:lvlText w:val="▪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2AEC2">
      <w:start w:val="1"/>
      <w:numFmt w:val="bullet"/>
      <w:lvlText w:val="•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8D574">
      <w:start w:val="1"/>
      <w:numFmt w:val="bullet"/>
      <w:lvlText w:val="o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2EEBEA">
      <w:start w:val="1"/>
      <w:numFmt w:val="bullet"/>
      <w:lvlText w:val="▪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40FDE2">
      <w:start w:val="1"/>
      <w:numFmt w:val="bullet"/>
      <w:lvlText w:val="•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8034CE">
      <w:start w:val="1"/>
      <w:numFmt w:val="bullet"/>
      <w:lvlText w:val="o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C87140">
      <w:start w:val="1"/>
      <w:numFmt w:val="bullet"/>
      <w:lvlText w:val="▪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803688"/>
    <w:multiLevelType w:val="hybridMultilevel"/>
    <w:tmpl w:val="7E2A7A20"/>
    <w:lvl w:ilvl="0" w:tplc="86A4D3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E93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EAD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0EE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AE6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22D6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1C4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490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0AC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E1B33E7"/>
    <w:multiLevelType w:val="hybridMultilevel"/>
    <w:tmpl w:val="6042186A"/>
    <w:lvl w:ilvl="0" w:tplc="E31EB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B6"/>
    <w:rsid w:val="00027B77"/>
    <w:rsid w:val="000A316F"/>
    <w:rsid w:val="000A3B6B"/>
    <w:rsid w:val="000A7721"/>
    <w:rsid w:val="00147495"/>
    <w:rsid w:val="00147FFB"/>
    <w:rsid w:val="00172418"/>
    <w:rsid w:val="00174E97"/>
    <w:rsid w:val="00224C65"/>
    <w:rsid w:val="00273CEB"/>
    <w:rsid w:val="00332547"/>
    <w:rsid w:val="00350C2E"/>
    <w:rsid w:val="003A21ED"/>
    <w:rsid w:val="0043509A"/>
    <w:rsid w:val="004469B5"/>
    <w:rsid w:val="004940F1"/>
    <w:rsid w:val="004A0514"/>
    <w:rsid w:val="004C7EE4"/>
    <w:rsid w:val="00514EF2"/>
    <w:rsid w:val="00580AFA"/>
    <w:rsid w:val="005935B6"/>
    <w:rsid w:val="005A2CE5"/>
    <w:rsid w:val="005E3A7E"/>
    <w:rsid w:val="005F485C"/>
    <w:rsid w:val="006C0807"/>
    <w:rsid w:val="006D0369"/>
    <w:rsid w:val="007C491F"/>
    <w:rsid w:val="00804864"/>
    <w:rsid w:val="008330B4"/>
    <w:rsid w:val="008454AE"/>
    <w:rsid w:val="0084721C"/>
    <w:rsid w:val="008C1A03"/>
    <w:rsid w:val="00921FA7"/>
    <w:rsid w:val="00926987"/>
    <w:rsid w:val="00932010"/>
    <w:rsid w:val="009C3206"/>
    <w:rsid w:val="00A44103"/>
    <w:rsid w:val="00A55D38"/>
    <w:rsid w:val="00AE596D"/>
    <w:rsid w:val="00B323BD"/>
    <w:rsid w:val="00B925F3"/>
    <w:rsid w:val="00C430B5"/>
    <w:rsid w:val="00C81E12"/>
    <w:rsid w:val="00DA7182"/>
    <w:rsid w:val="00DC47C1"/>
    <w:rsid w:val="00E236DD"/>
    <w:rsid w:val="00E3503D"/>
    <w:rsid w:val="00EF378A"/>
    <w:rsid w:val="00F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2BB3"/>
  <w15:docId w15:val="{9989C34A-5F9A-44EB-A9F6-CBC82992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5" w:line="249" w:lineRule="auto"/>
      <w:ind w:left="53" w:firstLine="4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theme" Target="theme/theme1.xml"/><Relationship Id="rId5" Type="http://schemas.openxmlformats.org/officeDocument/2006/relationships/image" Target="media/image3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Skenirana slika</vt:lpstr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Skenirana slika</dc:title>
  <dc:subject>Skenirana slika</dc:subject>
  <dc:creator>NAPS2</dc:creator>
  <cp:keywords/>
  <cp:lastModifiedBy>korisnik</cp:lastModifiedBy>
  <cp:revision>51</cp:revision>
  <dcterms:created xsi:type="dcterms:W3CDTF">2021-06-25T09:19:00Z</dcterms:created>
  <dcterms:modified xsi:type="dcterms:W3CDTF">2021-10-26T12:06:00Z</dcterms:modified>
</cp:coreProperties>
</file>