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D" w:rsidRPr="0033144C" w:rsidRDefault="0084464B">
      <w:pPr>
        <w:rPr>
          <w:rFonts w:ascii="Tahoma" w:hAnsi="Tahoma" w:cs="Tahoma"/>
          <w:b/>
          <w:sz w:val="32"/>
        </w:rPr>
      </w:pPr>
      <w:r w:rsidRPr="0084464B">
        <w:rPr>
          <w:rFonts w:ascii="Tahoma" w:hAnsi="Tahoma" w:cs="Tahoma"/>
          <w:b/>
          <w:sz w:val="32"/>
        </w:rPr>
        <w:t>CILJEVI I RAZVOJNA POLITIKA</w:t>
      </w:r>
      <w:r>
        <w:rPr>
          <w:rFonts w:ascii="Tahoma" w:hAnsi="Tahoma" w:cs="Tahoma"/>
          <w:b/>
          <w:sz w:val="32"/>
        </w:rPr>
        <w:t xml:space="preserve">                         </w:t>
      </w:r>
      <w:bookmarkStart w:id="0" w:name="_GoBack"/>
      <w:bookmarkEnd w:id="0"/>
    </w:p>
    <w:p w:rsidR="009E1EFC" w:rsidRDefault="0084464B">
      <w:r>
        <w:rPr>
          <w:rFonts w:ascii="Tahoma" w:hAnsi="Tahoma" w:cs="Tahoma"/>
          <w:sz w:val="24"/>
          <w:szCs w:val="24"/>
        </w:rPr>
        <w:t>Informacije 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001"/>
        <w:gridCol w:w="2001"/>
        <w:gridCol w:w="1395"/>
        <w:gridCol w:w="1292"/>
        <w:gridCol w:w="1264"/>
        <w:gridCol w:w="1335"/>
      </w:tblGrid>
      <w:tr w:rsidR="009E1EFC" w:rsidTr="009E1EFC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Pitanje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Broj odgovaratelja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Odgovoralo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Nije odgovarao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Odbijeno (bez odgovora)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</w:r>
            <w:r>
              <w:t>Broj komentara</w:t>
            </w:r>
          </w:p>
        </w:tc>
      </w:tr>
      <w:tr w:rsidR="009E1EFC" w:rsidTr="009E1EFC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23.1. Djelatnici, učenici i roditelji u potpunosti razumiju ciljeve škole, njihovu svrhu i temeljne vrijednosti.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40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</w:t>
            </w:r>
          </w:p>
        </w:tc>
      </w:tr>
      <w:tr w:rsidR="009E1EFC" w:rsidTr="009E1EFC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 xml:space="preserve">23.2. Ciljevi škole su usmjereni ka unapređivanju kvalitete učenja i ka boljim </w:t>
            </w:r>
            <w:r>
              <w:t>postignućima učenika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</w:t>
            </w:r>
          </w:p>
        </w:tc>
      </w:tr>
      <w:tr w:rsidR="009E1EFC" w:rsidTr="009E1EFC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23.3. Osoblje škole aktivno sudjeluje u razvoju i preispitivanju politike škole i njezinih smjernica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40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0( 0 %)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</w:t>
            </w:r>
          </w:p>
        </w:tc>
      </w:tr>
      <w:tr w:rsidR="009E1EFC" w:rsidTr="009E1EFC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 xml:space="preserve">23.4. Škola uvažava stavove roditelja i </w:t>
            </w:r>
            <w:r>
              <w:t>učenika vezanih uz razvoj škole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40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30( 75,0 %)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10( 25,0 %)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0( 0 %)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</w:t>
            </w:r>
          </w:p>
        </w:tc>
      </w:tr>
    </w:tbl>
    <w:p w:rsidR="009E1EFC" w:rsidRDefault="009E1EFC"/>
    <w:p w:rsidR="009E1EFC" w:rsidRDefault="0084464B">
      <w:r>
        <w:br w:type="page"/>
      </w:r>
    </w:p>
    <w:p w:rsidR="009E1EFC" w:rsidRDefault="0084464B">
      <w:r>
        <w:rPr>
          <w:rFonts w:ascii="Tahoma" w:hAnsi="Tahoma" w:cs="Tahoma"/>
          <w:sz w:val="24"/>
          <w:szCs w:val="24"/>
        </w:rPr>
        <w:lastRenderedPageBreak/>
        <w:t>Rezultati po pitanjima:</w:t>
      </w:r>
    </w:p>
    <w:tbl>
      <w:tblPr>
        <w:tblStyle w:val="Svijetlareetka-Isticanje1"/>
        <w:tblW w:w="5000" w:type="pct"/>
        <w:jc w:val="center"/>
        <w:tblLook w:val="04A0"/>
      </w:tblPr>
      <w:tblGrid>
        <w:gridCol w:w="2380"/>
        <w:gridCol w:w="2380"/>
        <w:gridCol w:w="906"/>
        <w:gridCol w:w="1382"/>
        <w:gridCol w:w="1120"/>
        <w:gridCol w:w="1120"/>
      </w:tblGrid>
      <w:tr w:rsidR="009E1EFC" w:rsidTr="009E1EFC">
        <w:trPr>
          <w:cnfStyle w:val="100000000000"/>
          <w:tblHeader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Pitanje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Nikada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Vrlo rijetko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Povremeno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Često</w:t>
            </w:r>
          </w:p>
        </w:tc>
        <w:tc>
          <w:tcPr>
            <w:tcW w:w="2310" w:type="pct"/>
          </w:tcPr>
          <w:p w:rsidR="009E1EFC" w:rsidRDefault="0084464B">
            <w:pPr>
              <w:cnfStyle w:val="100000000000"/>
            </w:pPr>
            <w:r>
              <w:br/>
              <w:t>Uvijek</w:t>
            </w:r>
          </w:p>
        </w:tc>
      </w:tr>
      <w:tr w:rsidR="009E1EFC" w:rsidTr="009E1EFC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 xml:space="preserve">23.1. Djelatnici, učenici i roditelji u potpunosti razumiju ciljeve škole, njihovu svrhu i </w:t>
            </w:r>
            <w:r>
              <w:t>temeljne vrijednosti.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7(23,3%)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12(40,0%)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11(36,7%)</w:t>
            </w:r>
          </w:p>
        </w:tc>
      </w:tr>
      <w:tr w:rsidR="009E1EFC" w:rsidTr="009E1EFC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23.2. Ciljevi škole su usmjereni ka unapređivanju kvalitete učenja i ka boljim postignućima učenika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2(6,7%)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7(23,3%)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21(70,0%)</w:t>
            </w:r>
          </w:p>
        </w:tc>
      </w:tr>
      <w:tr w:rsidR="009E1EFC" w:rsidTr="009E1EFC">
        <w:trPr>
          <w:cnfStyle w:val="00000010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 xml:space="preserve">23.3. Osoblje škole aktivno sudjeluje u </w:t>
            </w:r>
            <w:r>
              <w:t>razvoju i preispitivanju politike škole i njezinih smjernica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8(26,7%)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11(36,7%)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100000"/>
            </w:pPr>
            <w:r>
              <w:br/>
              <w:t>11(36,7%)</w:t>
            </w:r>
          </w:p>
        </w:tc>
      </w:tr>
      <w:tr w:rsidR="009E1EFC" w:rsidTr="009E1EFC">
        <w:trPr>
          <w:cnfStyle w:val="000000010000"/>
          <w:jc w:val="center"/>
        </w:trPr>
        <w:tc>
          <w:tcPr>
            <w:cnfStyle w:val="001000000000"/>
            <w:tcW w:w="2310" w:type="pct"/>
          </w:tcPr>
          <w:p w:rsidR="009E1EFC" w:rsidRDefault="0084464B">
            <w:r>
              <w:br/>
              <w:t>23.4. Škola uvažava stavove roditelja i učenika vezanih uz razvoj škole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0(0%)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4(13,3%)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14(46,7%)</w:t>
            </w:r>
          </w:p>
        </w:tc>
        <w:tc>
          <w:tcPr>
            <w:tcW w:w="2310" w:type="pct"/>
          </w:tcPr>
          <w:p w:rsidR="009E1EFC" w:rsidRDefault="0084464B">
            <w:pPr>
              <w:cnfStyle w:val="000000010000"/>
            </w:pPr>
            <w:r>
              <w:br/>
              <w:t>12(40,0%)</w:t>
            </w:r>
          </w:p>
        </w:tc>
      </w:tr>
    </w:tbl>
    <w:p w:rsidR="009E1EFC" w:rsidRDefault="009E1EFC"/>
    <w:p w:rsidR="009E1EFC" w:rsidRDefault="0084464B">
      <w:r>
        <w:br w:type="page"/>
      </w:r>
    </w:p>
    <w:sectPr w:rsidR="009E1EFC" w:rsidSect="00C428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D0" w:rsidRDefault="003C18D0" w:rsidP="006C021D">
      <w:pPr>
        <w:spacing w:after="0" w:line="240" w:lineRule="auto"/>
      </w:pPr>
      <w:r>
        <w:separator/>
      </w:r>
    </w:p>
  </w:endnote>
  <w:end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1D" w:rsidRDefault="009E1EFC">
    <w:pPr>
      <w:pStyle w:val="Podnoje"/>
    </w:pPr>
    <w:r>
      <w:rPr>
        <w:noProof/>
        <w:lang w:eastAsia="hr-HR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4097" type="#_x0000_t107" style="position:absolute;margin-left:247.4pt;margin-top:793.35pt;width:10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rO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" filled="f" fillcolor="#17365d" strokecolor="#71a0dc">
          <v:textbox>
            <w:txbxContent>
              <w:p w:rsidR="006C021D" w:rsidRPr="00CC7A3E" w:rsidRDefault="009E1EFC">
                <w:pPr>
                  <w:jc w:val="center"/>
                  <w:rPr>
                    <w:color w:val="4F81BD"/>
                  </w:rPr>
                </w:pPr>
                <w:r w:rsidRPr="009E1EFC">
                  <w:fldChar w:fldCharType="begin"/>
                </w:r>
                <w:r w:rsidR="006C021D">
                  <w:instrText xml:space="preserve"> PAGE    \* MERGEFORMAT </w:instrText>
                </w:r>
                <w:r w:rsidRPr="009E1EFC">
                  <w:fldChar w:fldCharType="separate"/>
                </w:r>
                <w:r w:rsidR="0084464B" w:rsidRPr="0084464B">
                  <w:rPr>
                    <w:noProof/>
                    <w:color w:val="4F81BD"/>
                  </w:rPr>
                  <w:t>1</w:t>
                </w:r>
                <w:r w:rsidRPr="00CC7A3E">
                  <w:rPr>
                    <w:noProof/>
                    <w:color w:val="4F81B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D0" w:rsidRDefault="003C18D0" w:rsidP="006C021D">
      <w:pPr>
        <w:spacing w:after="0" w:line="240" w:lineRule="auto"/>
      </w:pPr>
      <w:r>
        <w:separator/>
      </w:r>
    </w:p>
  </w:footnote>
  <w:footnote w:type="continuationSeparator" w:id="0">
    <w:p w:rsidR="003C18D0" w:rsidRDefault="003C18D0" w:rsidP="006C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92" w:rsidRDefault="009D06CA" w:rsidP="009D06CA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4062730" cy="690245"/>
          <wp:effectExtent l="419100" t="95250" r="109220" b="167005"/>
          <wp:docPr id="2" name="Picture 2" descr="D:\Projekti\VrednovanjeProfesoraDesktop - Copy\VrednovanjeProfesoraDesktop\VrednovanjeProfesoraDesktop\Resources\Vrednovanje nastav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kti\VrednovanjeProfesoraDesktop - Copy\VrednovanjeProfesoraDesktop\VrednovanjeProfesoraDesktop\Resources\Vrednovanje nastavn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2730" cy="69024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C42888" w:rsidRDefault="00C4288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166D"/>
    <w:rsid w:val="00014B6A"/>
    <w:rsid w:val="00026EBD"/>
    <w:rsid w:val="00122202"/>
    <w:rsid w:val="001F0910"/>
    <w:rsid w:val="00256375"/>
    <w:rsid w:val="002A5D4D"/>
    <w:rsid w:val="00300420"/>
    <w:rsid w:val="003020FA"/>
    <w:rsid w:val="003173A8"/>
    <w:rsid w:val="0033144C"/>
    <w:rsid w:val="00337DB7"/>
    <w:rsid w:val="00366B5E"/>
    <w:rsid w:val="003867BB"/>
    <w:rsid w:val="003C18D0"/>
    <w:rsid w:val="003C2F37"/>
    <w:rsid w:val="003C442A"/>
    <w:rsid w:val="00400D8E"/>
    <w:rsid w:val="00413A45"/>
    <w:rsid w:val="004974EC"/>
    <w:rsid w:val="004A180A"/>
    <w:rsid w:val="004C5526"/>
    <w:rsid w:val="00580AD1"/>
    <w:rsid w:val="005C50E1"/>
    <w:rsid w:val="0060166D"/>
    <w:rsid w:val="00614D7B"/>
    <w:rsid w:val="006C021D"/>
    <w:rsid w:val="006D1192"/>
    <w:rsid w:val="00761117"/>
    <w:rsid w:val="00791E81"/>
    <w:rsid w:val="007F2527"/>
    <w:rsid w:val="0084464B"/>
    <w:rsid w:val="008D60B0"/>
    <w:rsid w:val="009D06CA"/>
    <w:rsid w:val="009E1EFC"/>
    <w:rsid w:val="00A775EA"/>
    <w:rsid w:val="00BF114B"/>
    <w:rsid w:val="00C42888"/>
    <w:rsid w:val="00CC7A3E"/>
    <w:rsid w:val="00DD115F"/>
    <w:rsid w:val="00E133D6"/>
    <w:rsid w:val="00E21CAC"/>
    <w:rsid w:val="00E52B91"/>
    <w:rsid w:val="00E85E21"/>
    <w:rsid w:val="00E9569A"/>
    <w:rsid w:val="00EB1DC1"/>
    <w:rsid w:val="00F80472"/>
    <w:rsid w:val="00FB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F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021D"/>
  </w:style>
  <w:style w:type="paragraph" w:styleId="Podnoje">
    <w:name w:val="footer"/>
    <w:basedOn w:val="Normal"/>
    <w:link w:val="Podnoje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021D"/>
  </w:style>
  <w:style w:type="table" w:styleId="Svijetlareetka-Isticanje1">
    <w:name w:val="Light Grid Accent 1"/>
    <w:basedOn w:val="Obinatablica"/>
    <w:uiPriority w:val="62"/>
    <w:rsid w:val="00D473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21D"/>
  </w:style>
  <w:style w:type="paragraph" w:styleId="Footer">
    <w:name w:val="footer"/>
    <w:basedOn w:val="Normal"/>
    <w:link w:val="FooterChar"/>
    <w:uiPriority w:val="99"/>
    <w:unhideWhenUsed/>
    <w:rsid w:val="006C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B9B911-E523-4D24-AF13-3F040061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Guest</cp:lastModifiedBy>
  <cp:revision>9</cp:revision>
  <dcterms:created xsi:type="dcterms:W3CDTF">2012-07-31T21:47:00Z</dcterms:created>
  <dcterms:modified xsi:type="dcterms:W3CDTF">2014-07-04T09:32:00Z</dcterms:modified>
</cp:coreProperties>
</file>