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202B" w14:textId="77777777" w:rsidR="008D39BB" w:rsidRPr="00C04FC9" w:rsidRDefault="008D39BB" w:rsidP="008D39BB">
      <w:pPr>
        <w:spacing w:after="0"/>
        <w:rPr>
          <w:b/>
        </w:rPr>
      </w:pPr>
      <w:r w:rsidRPr="00C04FC9">
        <w:rPr>
          <w:b/>
        </w:rPr>
        <w:t>SREDNJA ŠKOLA DONJI MIHOLJAC</w:t>
      </w:r>
    </w:p>
    <w:p w14:paraId="0E0EF308" w14:textId="4AA7AEF0" w:rsidR="008D39BB" w:rsidRPr="00C04FC9" w:rsidRDefault="008D39BB" w:rsidP="008D39BB">
      <w:pPr>
        <w:rPr>
          <w:b/>
        </w:rPr>
      </w:pPr>
      <w:r w:rsidRPr="00C04FC9">
        <w:rPr>
          <w:b/>
        </w:rPr>
        <w:t>POPIS UDŽBENIKA ZA 3. RAZRED</w:t>
      </w:r>
      <w:r w:rsidR="00C90262" w:rsidRPr="00C04FC9">
        <w:rPr>
          <w:b/>
        </w:rPr>
        <w:t xml:space="preserve"> POLJOPRIVREDNIH GOSPODARSTVENIKA</w:t>
      </w:r>
      <w:r w:rsidRPr="00C04FC9">
        <w:rPr>
          <w:b/>
        </w:rPr>
        <w:t>, školska godina 20</w:t>
      </w:r>
      <w:r w:rsidR="0082554A">
        <w:rPr>
          <w:b/>
        </w:rPr>
        <w:t>23</w:t>
      </w:r>
      <w:r w:rsidRPr="00C04FC9">
        <w:rPr>
          <w:b/>
        </w:rPr>
        <w:t>./20</w:t>
      </w:r>
      <w:r w:rsidR="0082554A">
        <w:rPr>
          <w:b/>
        </w:rPr>
        <w:t>24</w:t>
      </w:r>
      <w:r w:rsidRPr="00C04FC9">
        <w:rPr>
          <w:b/>
        </w:rPr>
        <w:t>.</w:t>
      </w:r>
    </w:p>
    <w:p w14:paraId="6E8E3279" w14:textId="77777777" w:rsidR="00C04FC9" w:rsidRPr="00C04FC9" w:rsidRDefault="00C04FC9" w:rsidP="008D39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55"/>
        <w:gridCol w:w="3555"/>
        <w:gridCol w:w="3555"/>
        <w:gridCol w:w="3555"/>
      </w:tblGrid>
      <w:tr w:rsidR="001C2935" w:rsidRPr="00394DD4" w14:paraId="4A48CD0D" w14:textId="77777777" w:rsidTr="001C2935">
        <w:tc>
          <w:tcPr>
            <w:tcW w:w="3555" w:type="dxa"/>
          </w:tcPr>
          <w:p w14:paraId="2DD19F47" w14:textId="05BA19F7" w:rsidR="001C2935" w:rsidRPr="00394DD4" w:rsidRDefault="00394DD4" w:rsidP="00394DD4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394DD4">
              <w:rPr>
                <w:rFonts w:ascii="Calibri" w:eastAsia="Calibri" w:hAnsi="Calibri"/>
                <w:b/>
                <w:bCs/>
              </w:rPr>
              <w:t>PREDMET</w:t>
            </w:r>
          </w:p>
        </w:tc>
        <w:tc>
          <w:tcPr>
            <w:tcW w:w="3555" w:type="dxa"/>
          </w:tcPr>
          <w:p w14:paraId="5DD8226F" w14:textId="4444A511" w:rsidR="001C2935" w:rsidRPr="00394DD4" w:rsidRDefault="00394DD4" w:rsidP="00394DD4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394DD4">
              <w:rPr>
                <w:rFonts w:ascii="Calibri" w:eastAsia="Calibri" w:hAnsi="Calibri"/>
                <w:b/>
                <w:bCs/>
              </w:rPr>
              <w:t>UDŽBENIK</w:t>
            </w:r>
          </w:p>
        </w:tc>
        <w:tc>
          <w:tcPr>
            <w:tcW w:w="3555" w:type="dxa"/>
          </w:tcPr>
          <w:p w14:paraId="47ADECA4" w14:textId="28477FB4" w:rsidR="001C2935" w:rsidRPr="00394DD4" w:rsidRDefault="00394DD4" w:rsidP="00394DD4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394DD4">
              <w:rPr>
                <w:rFonts w:ascii="Calibri" w:eastAsia="Calibri" w:hAnsi="Calibri"/>
                <w:b/>
                <w:bCs/>
              </w:rPr>
              <w:t>AUTOR</w:t>
            </w:r>
          </w:p>
        </w:tc>
        <w:tc>
          <w:tcPr>
            <w:tcW w:w="3555" w:type="dxa"/>
          </w:tcPr>
          <w:p w14:paraId="765C3421" w14:textId="05FFA7B8" w:rsidR="001C2935" w:rsidRPr="00394DD4" w:rsidRDefault="00394DD4" w:rsidP="00394DD4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394DD4">
              <w:rPr>
                <w:rFonts w:ascii="Calibri" w:eastAsia="Calibri" w:hAnsi="Calibri"/>
                <w:b/>
                <w:bCs/>
              </w:rPr>
              <w:t>IZDAVAČ</w:t>
            </w:r>
          </w:p>
        </w:tc>
      </w:tr>
      <w:tr w:rsidR="00ED43E0" w:rsidRPr="00ED43E0" w14:paraId="2C493127" w14:textId="77777777" w:rsidTr="001C2935">
        <w:tc>
          <w:tcPr>
            <w:tcW w:w="3555" w:type="dxa"/>
          </w:tcPr>
          <w:p w14:paraId="7B8A9B24" w14:textId="77777777" w:rsidR="00394DD4" w:rsidRPr="00ED43E0" w:rsidRDefault="00394DD4" w:rsidP="00394DD4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 xml:space="preserve">ENGLESKI JEZIK – </w:t>
            </w: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  <w:u w:val="single"/>
              </w:rPr>
              <w:t>ISTO KAO PROŠLE ŠKOLSKE GODINE:</w:t>
            </w: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 xml:space="preserve"> </w:t>
            </w:r>
          </w:p>
          <w:p w14:paraId="65EF3753" w14:textId="77777777" w:rsidR="001C2935" w:rsidRPr="00ED43E0" w:rsidRDefault="001C2935" w:rsidP="00C04FC9">
            <w:pPr>
              <w:rPr>
                <w:rFonts w:ascii="Calibri" w:eastAsia="Calibri" w:hAnsi="Calibri" w:cs="Calibri"/>
                <w:color w:val="244061" w:themeColor="accent1" w:themeShade="80"/>
              </w:rPr>
            </w:pPr>
          </w:p>
        </w:tc>
        <w:tc>
          <w:tcPr>
            <w:tcW w:w="3555" w:type="dxa"/>
          </w:tcPr>
          <w:p w14:paraId="40540DDE" w14:textId="77777777" w:rsidR="001C2935" w:rsidRPr="00ED43E0" w:rsidRDefault="00394DD4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NEW SUCCESS ELEMENTARY : udžbenik engleskog jezika za 1. ili 1. i 2. razred srednjih strukovnih trogodišnjih škola, prvi strani jezik; 1. i 2. razred srednjih strukovnih dvogodišnjih škola, prvi strani jezik. Za 1. razred gimnazije, drugi strani jezik i 1. i 2. razred srednjih strukovnih četverogodišnjih škola, drugi strani jezik.</w:t>
            </w:r>
          </w:p>
          <w:p w14:paraId="252A4F8F" w14:textId="30F4F47C" w:rsidR="00D30A9E" w:rsidRPr="00ED43E0" w:rsidRDefault="00D30A9E" w:rsidP="00C04FC9">
            <w:pPr>
              <w:rPr>
                <w:rFonts w:ascii="Calibri" w:eastAsia="Calibri" w:hAnsi="Calibri" w:cs="Calibri"/>
                <w:color w:val="244061" w:themeColor="accent1" w:themeShade="80"/>
              </w:rPr>
            </w:pPr>
          </w:p>
        </w:tc>
        <w:tc>
          <w:tcPr>
            <w:tcW w:w="3555" w:type="dxa"/>
          </w:tcPr>
          <w:p w14:paraId="633AE3B5" w14:textId="65389044" w:rsidR="001C2935" w:rsidRPr="00ED43E0" w:rsidRDefault="00394DD4" w:rsidP="00C04FC9">
            <w:pPr>
              <w:rPr>
                <w:rFonts w:ascii="Calibri" w:eastAsia="Calibri" w:hAnsi="Calibri" w:cs="Calibri"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 xml:space="preserve">Jane </w:t>
            </w:r>
            <w:proofErr w:type="spellStart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Comyns</w:t>
            </w:r>
            <w:proofErr w:type="spellEnd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 xml:space="preserve"> Carr, Jennifer Parsons, Peter </w:t>
            </w:r>
            <w:proofErr w:type="spellStart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Moran</w:t>
            </w:r>
            <w:proofErr w:type="spellEnd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, Lindsay White</w:t>
            </w:r>
          </w:p>
        </w:tc>
        <w:tc>
          <w:tcPr>
            <w:tcW w:w="3555" w:type="dxa"/>
          </w:tcPr>
          <w:p w14:paraId="653E90E3" w14:textId="2636900B" w:rsidR="001C2935" w:rsidRPr="00ED43E0" w:rsidRDefault="00ED43E0" w:rsidP="00C04FC9">
            <w:pPr>
              <w:rPr>
                <w:rFonts w:ascii="Calibri" w:eastAsia="Calibri" w:hAnsi="Calibri" w:cs="Calibri"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Ljevak</w:t>
            </w:r>
          </w:p>
        </w:tc>
      </w:tr>
      <w:tr w:rsidR="00ED43E0" w:rsidRPr="00ED43E0" w14:paraId="214F09AA" w14:textId="77777777" w:rsidTr="001C2935">
        <w:tc>
          <w:tcPr>
            <w:tcW w:w="3555" w:type="dxa"/>
          </w:tcPr>
          <w:p w14:paraId="0EEF7319" w14:textId="77777777" w:rsidR="001C2935" w:rsidRPr="00ED43E0" w:rsidRDefault="001C2935" w:rsidP="00C04FC9">
            <w:pPr>
              <w:rPr>
                <w:rFonts w:ascii="Calibri" w:eastAsia="Calibri" w:hAnsi="Calibri" w:cs="Calibri"/>
                <w:color w:val="244061" w:themeColor="accent1" w:themeShade="80"/>
              </w:rPr>
            </w:pPr>
          </w:p>
        </w:tc>
        <w:tc>
          <w:tcPr>
            <w:tcW w:w="3555" w:type="dxa"/>
          </w:tcPr>
          <w:p w14:paraId="13B8416F" w14:textId="77777777" w:rsidR="001C2935" w:rsidRPr="00ED43E0" w:rsidRDefault="00394DD4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NEW SUCCESS ELEMENTARY : radna bilježnica engleskog jezika za 1. ili 1. i 2. razred srednjih strukovnih trogodišnjih škola, prvi strani jezik; 1. i 2. razred srednjih strukovnih dvogodišnjih škola, prvi strani jezik. Za 1. razred gimnazije, drugi strani jezik i 1. i 2. razred srednjih strukovnih četverogodišnjih škola, drugi strani jezik.</w:t>
            </w:r>
          </w:p>
          <w:p w14:paraId="131F35F7" w14:textId="73A4C8CC" w:rsidR="00D30A9E" w:rsidRPr="00ED43E0" w:rsidRDefault="00D30A9E" w:rsidP="00C04FC9">
            <w:pPr>
              <w:rPr>
                <w:rFonts w:ascii="Calibri" w:eastAsia="Calibri" w:hAnsi="Calibri" w:cs="Calibri"/>
                <w:color w:val="244061" w:themeColor="accent1" w:themeShade="80"/>
              </w:rPr>
            </w:pPr>
          </w:p>
        </w:tc>
        <w:tc>
          <w:tcPr>
            <w:tcW w:w="3555" w:type="dxa"/>
          </w:tcPr>
          <w:p w14:paraId="2F65FAD4" w14:textId="5E9FFFB7" w:rsidR="001C2935" w:rsidRPr="00ED43E0" w:rsidRDefault="00394DD4" w:rsidP="00C04FC9">
            <w:pPr>
              <w:rPr>
                <w:rFonts w:ascii="Calibri" w:eastAsia="Calibri" w:hAnsi="Calibri" w:cs="Calibri"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 xml:space="preserve">David Riley, Rod </w:t>
            </w:r>
            <w:proofErr w:type="spellStart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Fricker</w:t>
            </w:r>
            <w:proofErr w:type="spellEnd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 xml:space="preserve">, Dominika </w:t>
            </w:r>
            <w:proofErr w:type="spellStart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Chandler</w:t>
            </w:r>
            <w:proofErr w:type="spellEnd"/>
          </w:p>
        </w:tc>
        <w:tc>
          <w:tcPr>
            <w:tcW w:w="3555" w:type="dxa"/>
          </w:tcPr>
          <w:p w14:paraId="76547665" w14:textId="4E5B42F5" w:rsidR="001C2935" w:rsidRPr="00ED43E0" w:rsidRDefault="00ED43E0" w:rsidP="00C04FC9">
            <w:pPr>
              <w:rPr>
                <w:rFonts w:ascii="Calibri" w:eastAsia="Calibri" w:hAnsi="Calibri" w:cs="Calibri"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Ljevak</w:t>
            </w:r>
          </w:p>
        </w:tc>
      </w:tr>
      <w:tr w:rsidR="00ED43E0" w:rsidRPr="00ED43E0" w14:paraId="6C175CD7" w14:textId="77777777" w:rsidTr="001832E6">
        <w:tc>
          <w:tcPr>
            <w:tcW w:w="14220" w:type="dxa"/>
            <w:gridSpan w:val="4"/>
          </w:tcPr>
          <w:p w14:paraId="70C3C7D2" w14:textId="77777777" w:rsidR="00394DD4" w:rsidRPr="00ED43E0" w:rsidRDefault="00394DD4" w:rsidP="00394DD4">
            <w:pPr>
              <w:rPr>
                <w:rFonts w:ascii="Calibri" w:hAnsi="Calibri" w:cs="Calibri"/>
                <w:b/>
                <w:bCs/>
                <w:color w:val="244061" w:themeColor="accent1" w:themeShade="80"/>
                <w:u w:val="single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 xml:space="preserve">NJEMAČKI JEZIK – </w:t>
            </w: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  <w:u w:val="single"/>
              </w:rPr>
              <w:t>ISTO KAO PROŠLE ŠKOLSKE GODINE</w:t>
            </w:r>
          </w:p>
          <w:p w14:paraId="29D85A92" w14:textId="77777777" w:rsidR="00394DD4" w:rsidRPr="00ED43E0" w:rsidRDefault="00394DD4" w:rsidP="00C04FC9">
            <w:pPr>
              <w:rPr>
                <w:rFonts w:ascii="Calibri" w:eastAsia="Calibri" w:hAnsi="Calibri" w:cs="Calibri"/>
                <w:color w:val="244061" w:themeColor="accent1" w:themeShade="80"/>
              </w:rPr>
            </w:pPr>
          </w:p>
        </w:tc>
      </w:tr>
      <w:tr w:rsidR="00ED43E0" w:rsidRPr="00ED43E0" w14:paraId="3F78CF12" w14:textId="77777777" w:rsidTr="001C2935">
        <w:tc>
          <w:tcPr>
            <w:tcW w:w="3555" w:type="dxa"/>
          </w:tcPr>
          <w:p w14:paraId="5751A116" w14:textId="49326B36" w:rsidR="001C2935" w:rsidRPr="00ED43E0" w:rsidRDefault="00394DD4" w:rsidP="00C04FC9">
            <w:pPr>
              <w:rPr>
                <w:rFonts w:ascii="Calibri" w:eastAsia="Calibri" w:hAnsi="Calibri" w:cs="Calibri"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ETIKA</w:t>
            </w:r>
          </w:p>
        </w:tc>
        <w:tc>
          <w:tcPr>
            <w:tcW w:w="3555" w:type="dxa"/>
          </w:tcPr>
          <w:p w14:paraId="4A6B9FFC" w14:textId="77777777" w:rsidR="001C2935" w:rsidRPr="00ED43E0" w:rsidRDefault="00394DD4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 xml:space="preserve">ETIKA 3 - PRAVCIMA ŽIVOTA : udžbenik etike s dodatnim digitalnim sadržajima u trećem </w:t>
            </w: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lastRenderedPageBreak/>
              <w:t>razredu gimnazija i srednjih škola</w:t>
            </w:r>
          </w:p>
          <w:p w14:paraId="719DA1EE" w14:textId="7A773650" w:rsidR="00D30A9E" w:rsidRPr="00ED43E0" w:rsidRDefault="00D30A9E" w:rsidP="00C04FC9">
            <w:pPr>
              <w:rPr>
                <w:rFonts w:ascii="Calibri" w:eastAsia="Calibri" w:hAnsi="Calibri" w:cs="Calibri"/>
                <w:color w:val="244061" w:themeColor="accent1" w:themeShade="80"/>
              </w:rPr>
            </w:pPr>
          </w:p>
        </w:tc>
        <w:tc>
          <w:tcPr>
            <w:tcW w:w="3555" w:type="dxa"/>
          </w:tcPr>
          <w:p w14:paraId="475A189A" w14:textId="10FD4CE2" w:rsidR="001C2935" w:rsidRPr="00ED43E0" w:rsidRDefault="00394DD4" w:rsidP="00C04FC9">
            <w:pPr>
              <w:rPr>
                <w:rFonts w:ascii="Calibri" w:eastAsia="Calibri" w:hAnsi="Calibri" w:cs="Calibri"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lastRenderedPageBreak/>
              <w:t>Igor Lukić</w:t>
            </w:r>
          </w:p>
        </w:tc>
        <w:tc>
          <w:tcPr>
            <w:tcW w:w="3555" w:type="dxa"/>
          </w:tcPr>
          <w:p w14:paraId="666EB092" w14:textId="7D48171C" w:rsidR="001C2935" w:rsidRPr="00ED43E0" w:rsidRDefault="00ED43E0" w:rsidP="00C04FC9">
            <w:pPr>
              <w:rPr>
                <w:rFonts w:ascii="Calibri" w:eastAsia="Calibri" w:hAnsi="Calibri" w:cs="Calibri"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Školska knjiga</w:t>
            </w:r>
          </w:p>
        </w:tc>
      </w:tr>
      <w:tr w:rsidR="00ED43E0" w:rsidRPr="00ED43E0" w14:paraId="47BD7993" w14:textId="77777777" w:rsidTr="001C2935">
        <w:tc>
          <w:tcPr>
            <w:tcW w:w="3555" w:type="dxa"/>
          </w:tcPr>
          <w:p w14:paraId="2129DB3B" w14:textId="2B10DB22" w:rsidR="00D30A9E" w:rsidRPr="00ED43E0" w:rsidRDefault="00D30A9E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HRVATSKI JEZIK</w:t>
            </w:r>
          </w:p>
          <w:p w14:paraId="372BBA71" w14:textId="05F3EE9D" w:rsidR="00D30A9E" w:rsidRPr="00ED43E0" w:rsidRDefault="00D30A9E" w:rsidP="00D30A9E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3555" w:type="dxa"/>
          </w:tcPr>
          <w:p w14:paraId="0508781F" w14:textId="77777777" w:rsidR="00D30A9E" w:rsidRPr="00ED43E0" w:rsidRDefault="00D30A9E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ČITANKA 3 : udžbenik za 3. razred trogodišnjih strukovnih škola</w:t>
            </w:r>
          </w:p>
          <w:p w14:paraId="239C6395" w14:textId="1DE56961" w:rsidR="00D30A9E" w:rsidRPr="00ED43E0" w:rsidRDefault="00D30A9E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3555" w:type="dxa"/>
          </w:tcPr>
          <w:p w14:paraId="41A51F80" w14:textId="37E1FDFE" w:rsidR="00D30A9E" w:rsidRPr="00ED43E0" w:rsidRDefault="00D30A9E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 xml:space="preserve">Snježana </w:t>
            </w:r>
            <w:proofErr w:type="spellStart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Zbukvić</w:t>
            </w:r>
            <w:proofErr w:type="spellEnd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 xml:space="preserve">-Ožbolt, Snježana </w:t>
            </w:r>
            <w:proofErr w:type="spellStart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Zrinjan</w:t>
            </w:r>
            <w:proofErr w:type="spellEnd"/>
          </w:p>
        </w:tc>
        <w:tc>
          <w:tcPr>
            <w:tcW w:w="3555" w:type="dxa"/>
          </w:tcPr>
          <w:p w14:paraId="76B63934" w14:textId="3AB22C59" w:rsidR="00D30A9E" w:rsidRPr="00ED43E0" w:rsidRDefault="00ED43E0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Školska knjiga</w:t>
            </w:r>
          </w:p>
        </w:tc>
      </w:tr>
      <w:tr w:rsidR="00ED43E0" w:rsidRPr="00ED43E0" w14:paraId="2FAE19B1" w14:textId="77777777" w:rsidTr="001C2935">
        <w:tc>
          <w:tcPr>
            <w:tcW w:w="3555" w:type="dxa"/>
          </w:tcPr>
          <w:p w14:paraId="6DCCCE82" w14:textId="18BBF082" w:rsidR="00D30A9E" w:rsidRPr="00ED43E0" w:rsidRDefault="00A0292A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MATEMATIKA</w:t>
            </w:r>
          </w:p>
          <w:p w14:paraId="08E8C78C" w14:textId="451C67F4" w:rsidR="00D30A9E" w:rsidRPr="00ED43E0" w:rsidRDefault="00D30A9E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3555" w:type="dxa"/>
          </w:tcPr>
          <w:p w14:paraId="653BFF07" w14:textId="0567650D" w:rsidR="00D30A9E" w:rsidRPr="00ED43E0" w:rsidRDefault="00A0292A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MATEMATIKA 3 : udžbenik i zbirka zadataka za 3. razred trogodišnjih strukovnih škola</w:t>
            </w:r>
          </w:p>
        </w:tc>
        <w:tc>
          <w:tcPr>
            <w:tcW w:w="3555" w:type="dxa"/>
          </w:tcPr>
          <w:p w14:paraId="49B3A016" w14:textId="64C2D841" w:rsidR="00D30A9E" w:rsidRPr="00ED43E0" w:rsidRDefault="00A0292A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 xml:space="preserve">Sanja </w:t>
            </w:r>
            <w:proofErr w:type="spellStart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Varošanec</w:t>
            </w:r>
            <w:proofErr w:type="spellEnd"/>
          </w:p>
        </w:tc>
        <w:tc>
          <w:tcPr>
            <w:tcW w:w="3555" w:type="dxa"/>
          </w:tcPr>
          <w:p w14:paraId="0B113F17" w14:textId="4A009233" w:rsidR="00D30A9E" w:rsidRPr="00ED43E0" w:rsidRDefault="00ED43E0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Element</w:t>
            </w:r>
          </w:p>
        </w:tc>
      </w:tr>
      <w:tr w:rsidR="00ED43E0" w:rsidRPr="00ED43E0" w14:paraId="591EDFFC" w14:textId="77777777" w:rsidTr="001C2935">
        <w:tc>
          <w:tcPr>
            <w:tcW w:w="3555" w:type="dxa"/>
          </w:tcPr>
          <w:p w14:paraId="26F16D84" w14:textId="1143F96B" w:rsidR="00A0292A" w:rsidRPr="00ED43E0" w:rsidRDefault="00A0292A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RAČUNALSTVO</w:t>
            </w:r>
          </w:p>
          <w:p w14:paraId="0D5C6830" w14:textId="1083AF86" w:rsidR="00A0292A" w:rsidRPr="00ED43E0" w:rsidRDefault="00A0292A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3555" w:type="dxa"/>
          </w:tcPr>
          <w:p w14:paraId="2D15A280" w14:textId="0C419531" w:rsidR="00A0292A" w:rsidRPr="00ED43E0" w:rsidRDefault="00A0292A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E-U INFO STRUK : elektronički udžbenik informatike/računalstva za dvogodišnje, trogodišnje i četverogodišnje strukovne škole</w:t>
            </w:r>
          </w:p>
        </w:tc>
        <w:tc>
          <w:tcPr>
            <w:tcW w:w="3555" w:type="dxa"/>
          </w:tcPr>
          <w:p w14:paraId="26231367" w14:textId="77777777" w:rsidR="00A0292A" w:rsidRPr="00ED43E0" w:rsidRDefault="00A0292A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 xml:space="preserve">Toma </w:t>
            </w:r>
            <w:proofErr w:type="spellStart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Gvozdanović</w:t>
            </w:r>
            <w:proofErr w:type="spellEnd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 xml:space="preserve">, Zoran </w:t>
            </w:r>
            <w:proofErr w:type="spellStart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Ikica</w:t>
            </w:r>
            <w:proofErr w:type="spellEnd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 xml:space="preserve">, Igor Kos, Krešimir </w:t>
            </w:r>
            <w:proofErr w:type="spellStart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Kudumija</w:t>
            </w:r>
            <w:proofErr w:type="spellEnd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 xml:space="preserve">, Mladen </w:t>
            </w:r>
            <w:proofErr w:type="spellStart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Kuzminski</w:t>
            </w:r>
            <w:proofErr w:type="spellEnd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 xml:space="preserve">, Ljiljana </w:t>
            </w:r>
            <w:proofErr w:type="spellStart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Milijaš</w:t>
            </w:r>
            <w:proofErr w:type="spellEnd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 xml:space="preserve">, Nenad </w:t>
            </w:r>
            <w:proofErr w:type="spellStart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Milijaš</w:t>
            </w:r>
            <w:proofErr w:type="spellEnd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, Gordana Sekulić-</w:t>
            </w:r>
            <w:proofErr w:type="spellStart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Štivčević</w:t>
            </w:r>
            <w:proofErr w:type="spellEnd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 xml:space="preserve">, Vladimir </w:t>
            </w:r>
            <w:proofErr w:type="spellStart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Štivčević</w:t>
            </w:r>
            <w:proofErr w:type="spellEnd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 xml:space="preserve">, Ljiljana </w:t>
            </w:r>
            <w:proofErr w:type="spellStart"/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Zvonarek</w:t>
            </w:r>
            <w:proofErr w:type="spellEnd"/>
          </w:p>
          <w:p w14:paraId="3207D0A8" w14:textId="0143EE8C" w:rsidR="00A0292A" w:rsidRPr="00ED43E0" w:rsidRDefault="00A0292A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3555" w:type="dxa"/>
          </w:tcPr>
          <w:p w14:paraId="70DC93CC" w14:textId="72D614CA" w:rsidR="00A0292A" w:rsidRPr="00ED43E0" w:rsidRDefault="00ED43E0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Promil</w:t>
            </w:r>
          </w:p>
        </w:tc>
      </w:tr>
      <w:tr w:rsidR="00ED43E0" w:rsidRPr="00ED43E0" w14:paraId="54268704" w14:textId="77777777" w:rsidTr="001C2935">
        <w:tc>
          <w:tcPr>
            <w:tcW w:w="3555" w:type="dxa"/>
          </w:tcPr>
          <w:p w14:paraId="2C568524" w14:textId="1517FCEE" w:rsidR="00A0292A" w:rsidRPr="00ED43E0" w:rsidRDefault="00A0292A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TRŽIŠTE</w:t>
            </w:r>
          </w:p>
          <w:p w14:paraId="071CE5B1" w14:textId="6516876E" w:rsidR="00A0292A" w:rsidRPr="00ED43E0" w:rsidRDefault="00A0292A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3555" w:type="dxa"/>
          </w:tcPr>
          <w:p w14:paraId="7AA45E09" w14:textId="658160C0" w:rsidR="00A0292A" w:rsidRPr="00ED43E0" w:rsidRDefault="00A0292A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TRŽNIŠTVO U POLJODJELSTVU : udžbenik za srednje poljoprivredne škole</w:t>
            </w:r>
          </w:p>
        </w:tc>
        <w:tc>
          <w:tcPr>
            <w:tcW w:w="3555" w:type="dxa"/>
          </w:tcPr>
          <w:p w14:paraId="0EB87BF4" w14:textId="093FB7F2" w:rsidR="00A0292A" w:rsidRPr="00ED43E0" w:rsidRDefault="00A0292A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Ante Kolega</w:t>
            </w:r>
          </w:p>
        </w:tc>
        <w:tc>
          <w:tcPr>
            <w:tcW w:w="3555" w:type="dxa"/>
          </w:tcPr>
          <w:p w14:paraId="5677FCB5" w14:textId="0649CFF8" w:rsidR="00A0292A" w:rsidRPr="00ED43E0" w:rsidRDefault="00ED43E0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Alfa</w:t>
            </w:r>
          </w:p>
        </w:tc>
      </w:tr>
      <w:tr w:rsidR="00A0292A" w:rsidRPr="00ED43E0" w14:paraId="24B5C86F" w14:textId="77777777" w:rsidTr="001C2935">
        <w:tc>
          <w:tcPr>
            <w:tcW w:w="3555" w:type="dxa"/>
          </w:tcPr>
          <w:p w14:paraId="10FB5A51" w14:textId="29C551BA" w:rsidR="00A0292A" w:rsidRPr="00ED43E0" w:rsidRDefault="00A0292A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color w:val="244061" w:themeColor="accent1" w:themeShade="80"/>
              </w:rPr>
              <w:t>STOČARSTVO</w:t>
            </w:r>
          </w:p>
          <w:p w14:paraId="331BE76B" w14:textId="6CD70C2F" w:rsidR="00A0292A" w:rsidRPr="00ED43E0" w:rsidRDefault="00A0292A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</w:p>
        </w:tc>
        <w:tc>
          <w:tcPr>
            <w:tcW w:w="3555" w:type="dxa"/>
          </w:tcPr>
          <w:p w14:paraId="5089C4F1" w14:textId="4CF1C580" w:rsidR="00A0292A" w:rsidRPr="00ED43E0" w:rsidRDefault="00A0292A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PERADARSTVO : udžbenik za 4. razred poljoprivrednih škola</w:t>
            </w:r>
          </w:p>
        </w:tc>
        <w:tc>
          <w:tcPr>
            <w:tcW w:w="3555" w:type="dxa"/>
          </w:tcPr>
          <w:p w14:paraId="50553FEB" w14:textId="0EF8035D" w:rsidR="00A0292A" w:rsidRPr="00ED43E0" w:rsidRDefault="00A0292A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Mirta Balenović, Tomislav Balenović</w:t>
            </w:r>
          </w:p>
        </w:tc>
        <w:tc>
          <w:tcPr>
            <w:tcW w:w="3555" w:type="dxa"/>
          </w:tcPr>
          <w:p w14:paraId="71820990" w14:textId="40BDAF41" w:rsidR="00A0292A" w:rsidRPr="00ED43E0" w:rsidRDefault="00ED43E0" w:rsidP="00C04FC9">
            <w:pPr>
              <w:rPr>
                <w:rFonts w:ascii="Calibri" w:hAnsi="Calibri" w:cs="Calibri"/>
                <w:b/>
                <w:bCs/>
                <w:color w:val="244061" w:themeColor="accent1" w:themeShade="80"/>
              </w:rPr>
            </w:pPr>
            <w:r w:rsidRPr="00ED43E0">
              <w:rPr>
                <w:rFonts w:ascii="Calibri" w:hAnsi="Calibri" w:cs="Calibri"/>
                <w:b/>
                <w:bCs/>
                <w:color w:val="244061" w:themeColor="accent1" w:themeShade="80"/>
              </w:rPr>
              <w:t>Profil</w:t>
            </w:r>
          </w:p>
        </w:tc>
      </w:tr>
    </w:tbl>
    <w:p w14:paraId="1BD662F6" w14:textId="77777777" w:rsidR="00743780" w:rsidRPr="00ED43E0" w:rsidRDefault="00743780" w:rsidP="00C04FC9">
      <w:pPr>
        <w:rPr>
          <w:rFonts w:ascii="Calibri" w:eastAsia="Calibri" w:hAnsi="Calibri" w:cs="Calibri"/>
          <w:color w:val="244061" w:themeColor="accent1" w:themeShade="80"/>
        </w:rPr>
      </w:pPr>
    </w:p>
    <w:sectPr w:rsidR="00743780" w:rsidRPr="00ED43E0" w:rsidSect="008D39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C40"/>
    <w:rsid w:val="00090387"/>
    <w:rsid w:val="00194D2C"/>
    <w:rsid w:val="001B2827"/>
    <w:rsid w:val="001C2935"/>
    <w:rsid w:val="00245017"/>
    <w:rsid w:val="00366B08"/>
    <w:rsid w:val="00372A47"/>
    <w:rsid w:val="00394DD4"/>
    <w:rsid w:val="003A11BC"/>
    <w:rsid w:val="00415193"/>
    <w:rsid w:val="00441916"/>
    <w:rsid w:val="005964B0"/>
    <w:rsid w:val="00607E5E"/>
    <w:rsid w:val="00743780"/>
    <w:rsid w:val="0082554A"/>
    <w:rsid w:val="008D39BB"/>
    <w:rsid w:val="00955DE6"/>
    <w:rsid w:val="009A786F"/>
    <w:rsid w:val="009C77B0"/>
    <w:rsid w:val="009E5CEB"/>
    <w:rsid w:val="00A0292A"/>
    <w:rsid w:val="00A14289"/>
    <w:rsid w:val="00A3511C"/>
    <w:rsid w:val="00B11BCB"/>
    <w:rsid w:val="00B86E99"/>
    <w:rsid w:val="00B930F6"/>
    <w:rsid w:val="00C04FC9"/>
    <w:rsid w:val="00C90262"/>
    <w:rsid w:val="00CB5C40"/>
    <w:rsid w:val="00CF5DC9"/>
    <w:rsid w:val="00CF6F12"/>
    <w:rsid w:val="00D205A3"/>
    <w:rsid w:val="00D2238E"/>
    <w:rsid w:val="00D30A9E"/>
    <w:rsid w:val="00D35417"/>
    <w:rsid w:val="00D502E4"/>
    <w:rsid w:val="00D842B0"/>
    <w:rsid w:val="00DB07CA"/>
    <w:rsid w:val="00E129A6"/>
    <w:rsid w:val="00ED43E0"/>
    <w:rsid w:val="00F0208F"/>
    <w:rsid w:val="00F1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3C58"/>
  <w15:docId w15:val="{2E9776C8-C70C-46B6-9ADB-75CB795D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0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Azenić</dc:creator>
  <cp:keywords/>
  <dc:description/>
  <cp:lastModifiedBy>Ivana Azenić-Mikulić</cp:lastModifiedBy>
  <cp:revision>43</cp:revision>
  <dcterms:created xsi:type="dcterms:W3CDTF">2017-06-12T10:30:00Z</dcterms:created>
  <dcterms:modified xsi:type="dcterms:W3CDTF">2023-06-29T10:02:00Z</dcterms:modified>
</cp:coreProperties>
</file>