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226"/>
      </w:tblGrid>
      <w:tr w:rsidR="0046622D" w:rsidRPr="00F31D85" w14:paraId="1BB8E4EF" w14:textId="77777777" w:rsidTr="00250D2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9C84B72" w14:textId="77777777" w:rsidR="0046622D" w:rsidRPr="00F31D85" w:rsidRDefault="0046622D" w:rsidP="00250D20">
            <w:r w:rsidRPr="00F31D85">
              <w:rPr>
                <w:sz w:val="22"/>
              </w:rPr>
              <w:t>RKP: 17</w:t>
            </w:r>
            <w:r>
              <w:rPr>
                <w:sz w:val="22"/>
              </w:rPr>
              <w:t>477</w:t>
            </w:r>
          </w:p>
          <w:p w14:paraId="34032317" w14:textId="77777777" w:rsidR="0046622D" w:rsidRPr="00F31D85" w:rsidRDefault="0046622D" w:rsidP="00250D20">
            <w:r w:rsidRPr="00F31D85">
              <w:rPr>
                <w:sz w:val="22"/>
              </w:rPr>
              <w:t>Matični broj: 03</w:t>
            </w:r>
            <w:r>
              <w:rPr>
                <w:sz w:val="22"/>
              </w:rPr>
              <w:t>999351</w:t>
            </w:r>
          </w:p>
          <w:p w14:paraId="7765F88D" w14:textId="77777777" w:rsidR="0046622D" w:rsidRPr="00F31D85" w:rsidRDefault="0046622D" w:rsidP="00250D20">
            <w:r w:rsidRPr="00F31D85">
              <w:rPr>
                <w:sz w:val="22"/>
              </w:rPr>
              <w:t xml:space="preserve">Naziv obveznika: </w:t>
            </w:r>
            <w:r>
              <w:rPr>
                <w:sz w:val="22"/>
              </w:rPr>
              <w:t>Ekonomska škola Pula</w:t>
            </w:r>
          </w:p>
          <w:p w14:paraId="1DFD3934" w14:textId="77777777" w:rsidR="0046622D" w:rsidRPr="00F31D85" w:rsidRDefault="0046622D" w:rsidP="00250D20">
            <w:r>
              <w:rPr>
                <w:sz w:val="22"/>
              </w:rPr>
              <w:t>Pošta i mjesto</w:t>
            </w:r>
            <w:r w:rsidRPr="00F31D85">
              <w:rPr>
                <w:sz w:val="22"/>
              </w:rPr>
              <w:t>: 52100</w:t>
            </w:r>
            <w:r>
              <w:rPr>
                <w:sz w:val="22"/>
              </w:rPr>
              <w:t xml:space="preserve">  Pula</w:t>
            </w:r>
          </w:p>
          <w:p w14:paraId="16883CA9" w14:textId="77777777" w:rsidR="0046622D" w:rsidRPr="00F31D85" w:rsidRDefault="0046622D" w:rsidP="00250D20">
            <w:r>
              <w:rPr>
                <w:sz w:val="22"/>
              </w:rPr>
              <w:t>Ulica i kućni broj</w:t>
            </w:r>
            <w:r w:rsidRPr="00F31D85">
              <w:rPr>
                <w:sz w:val="22"/>
              </w:rPr>
              <w:t xml:space="preserve">: </w:t>
            </w:r>
            <w:r>
              <w:rPr>
                <w:sz w:val="22"/>
              </w:rPr>
              <w:t xml:space="preserve">Kovačićeva </w:t>
            </w:r>
            <w:r w:rsidRPr="00F31D85">
              <w:rPr>
                <w:sz w:val="22"/>
              </w:rPr>
              <w:t xml:space="preserve"> 3</w:t>
            </w:r>
          </w:p>
          <w:p w14:paraId="038BDECA" w14:textId="77777777" w:rsidR="0046622D" w:rsidRPr="00F31D85" w:rsidRDefault="0046622D" w:rsidP="00250D20">
            <w:r w:rsidRPr="00F31D85">
              <w:rPr>
                <w:sz w:val="22"/>
              </w:rPr>
              <w:t>Razina: 31</w:t>
            </w:r>
          </w:p>
          <w:p w14:paraId="27EE921F" w14:textId="77777777" w:rsidR="0046622D" w:rsidRPr="00F31D85" w:rsidRDefault="0046622D" w:rsidP="00250D20">
            <w:r>
              <w:rPr>
                <w:sz w:val="22"/>
              </w:rPr>
              <w:t>Šifra djelatnosti: 8532</w:t>
            </w:r>
          </w:p>
          <w:p w14:paraId="06688595" w14:textId="77777777" w:rsidR="0046622D" w:rsidRPr="00F31D85" w:rsidRDefault="0046622D" w:rsidP="00250D20">
            <w:r w:rsidRPr="00F31D85">
              <w:rPr>
                <w:sz w:val="22"/>
              </w:rPr>
              <w:t>Razdjel: 0</w:t>
            </w:r>
          </w:p>
          <w:p w14:paraId="72D96231" w14:textId="77777777" w:rsidR="0046622D" w:rsidRDefault="0046622D" w:rsidP="00250D20">
            <w:r w:rsidRPr="00F31D85">
              <w:rPr>
                <w:sz w:val="22"/>
              </w:rPr>
              <w:t>Šifra općine: 359</w:t>
            </w:r>
          </w:p>
          <w:p w14:paraId="1898F36E" w14:textId="77777777" w:rsidR="0046622D" w:rsidRPr="00F31D85" w:rsidRDefault="0046622D" w:rsidP="00250D20"/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EBF7FBA" w14:textId="26269C4E" w:rsidR="0046622D" w:rsidRDefault="0046622D" w:rsidP="00250D20">
            <w:r>
              <w:rPr>
                <w:sz w:val="22"/>
              </w:rPr>
              <w:t>AOP oznaka razdoblja: 20</w:t>
            </w:r>
            <w:r w:rsidR="005E6F5C">
              <w:rPr>
                <w:sz w:val="22"/>
              </w:rPr>
              <w:t>2</w:t>
            </w:r>
            <w:r w:rsidR="00F16B12">
              <w:rPr>
                <w:sz w:val="22"/>
              </w:rPr>
              <w:t>3</w:t>
            </w:r>
            <w:r w:rsidRPr="00F31D85">
              <w:rPr>
                <w:sz w:val="22"/>
              </w:rPr>
              <w:t>-</w:t>
            </w:r>
            <w:r w:rsidR="005E6F5C">
              <w:rPr>
                <w:sz w:val="22"/>
              </w:rPr>
              <w:t>12</w:t>
            </w:r>
          </w:p>
          <w:p w14:paraId="5393E852" w14:textId="77777777" w:rsidR="0046622D" w:rsidRDefault="0046622D" w:rsidP="00250D20">
            <w:r>
              <w:rPr>
                <w:sz w:val="22"/>
              </w:rPr>
              <w:t>OIB: 47059499324</w:t>
            </w:r>
          </w:p>
          <w:p w14:paraId="6C448540" w14:textId="77777777" w:rsidR="0046622D" w:rsidRPr="00F31D85" w:rsidRDefault="0046622D" w:rsidP="00250D20"/>
        </w:tc>
      </w:tr>
    </w:tbl>
    <w:p w14:paraId="1F3361E5" w14:textId="77777777" w:rsidR="0046622D" w:rsidRPr="00F31D85" w:rsidRDefault="0046622D" w:rsidP="0046622D">
      <w:pPr>
        <w:rPr>
          <w:sz w:val="22"/>
        </w:rPr>
      </w:pPr>
    </w:p>
    <w:p w14:paraId="113F4318" w14:textId="77777777" w:rsidR="0046622D" w:rsidRPr="00F31D85" w:rsidRDefault="0046622D" w:rsidP="0046622D">
      <w:pPr>
        <w:rPr>
          <w:sz w:val="22"/>
        </w:rPr>
      </w:pPr>
    </w:p>
    <w:p w14:paraId="42FDAC56" w14:textId="77777777" w:rsidR="0046622D" w:rsidRDefault="0046622D" w:rsidP="0046622D">
      <w:pPr>
        <w:jc w:val="center"/>
        <w:rPr>
          <w:b/>
          <w:sz w:val="22"/>
        </w:rPr>
      </w:pPr>
      <w:r w:rsidRPr="00F31D85">
        <w:rPr>
          <w:b/>
          <w:sz w:val="22"/>
        </w:rPr>
        <w:t xml:space="preserve">BILJEŠKE </w:t>
      </w:r>
    </w:p>
    <w:p w14:paraId="18C93710" w14:textId="77777777" w:rsidR="0046622D" w:rsidRPr="00F31D85" w:rsidRDefault="0046622D" w:rsidP="0046622D">
      <w:pPr>
        <w:jc w:val="center"/>
        <w:rPr>
          <w:b/>
          <w:sz w:val="22"/>
        </w:rPr>
      </w:pPr>
    </w:p>
    <w:p w14:paraId="7A520FCA" w14:textId="6DBA5343" w:rsidR="0046622D" w:rsidRPr="005E6F5C" w:rsidRDefault="0046622D" w:rsidP="0046622D">
      <w:pPr>
        <w:jc w:val="center"/>
        <w:rPr>
          <w:b/>
        </w:rPr>
      </w:pPr>
      <w:r w:rsidRPr="005E6F5C">
        <w:rPr>
          <w:b/>
        </w:rPr>
        <w:t>za razdoblje od 1. siječnja do 3</w:t>
      </w:r>
      <w:r w:rsidR="00687876">
        <w:rPr>
          <w:b/>
        </w:rPr>
        <w:t>1</w:t>
      </w:r>
      <w:r w:rsidRPr="005E6F5C">
        <w:rPr>
          <w:b/>
        </w:rPr>
        <w:t xml:space="preserve">. </w:t>
      </w:r>
      <w:r w:rsidR="005E6F5C">
        <w:rPr>
          <w:b/>
        </w:rPr>
        <w:t>prosinca 202</w:t>
      </w:r>
      <w:r w:rsidR="00F16B12">
        <w:rPr>
          <w:b/>
        </w:rPr>
        <w:t>3</w:t>
      </w:r>
      <w:r w:rsidRPr="005E6F5C">
        <w:rPr>
          <w:b/>
        </w:rPr>
        <w:t>. godine</w:t>
      </w:r>
    </w:p>
    <w:p w14:paraId="3934B451" w14:textId="77777777" w:rsidR="0046622D" w:rsidRPr="005E6F5C" w:rsidRDefault="0046622D" w:rsidP="0046622D"/>
    <w:p w14:paraId="35F64BB0" w14:textId="77777777" w:rsidR="0046622D" w:rsidRPr="005E6F5C" w:rsidRDefault="0046622D" w:rsidP="0046622D">
      <w:pPr>
        <w:pStyle w:val="Naslov4"/>
        <w:rPr>
          <w:sz w:val="24"/>
          <w:szCs w:val="24"/>
        </w:rPr>
      </w:pPr>
    </w:p>
    <w:p w14:paraId="44C2649F" w14:textId="77777777" w:rsidR="005E6F5C" w:rsidRPr="005E6F5C" w:rsidRDefault="005E6F5C" w:rsidP="005E6F5C">
      <w:pPr>
        <w:rPr>
          <w:b/>
        </w:rPr>
      </w:pPr>
      <w:r w:rsidRPr="005E6F5C">
        <w:t>Ekonomska škola Pula je srednjoškolska odgojno-obrazovna ustanova koja obrazuje</w:t>
      </w:r>
    </w:p>
    <w:p w14:paraId="709AFEC0" w14:textId="77777777" w:rsidR="005E6F5C" w:rsidRPr="005E6F5C" w:rsidRDefault="005E6F5C" w:rsidP="005E6F5C">
      <w:pPr>
        <w:contextualSpacing/>
        <w:jc w:val="both"/>
      </w:pPr>
      <w:r w:rsidRPr="005E6F5C">
        <w:t xml:space="preserve">učenike u četverogodišnjim obrazovnim programima iz sektora ekonomije, trgovine i poslovne administracije za zanimanja ekonomist i poslovni tajnik. </w:t>
      </w:r>
    </w:p>
    <w:p w14:paraId="052C0789" w14:textId="77777777" w:rsidR="005E6F5C" w:rsidRPr="005E6F5C" w:rsidRDefault="005E6F5C" w:rsidP="005E6F5C">
      <w:pPr>
        <w:contextualSpacing/>
        <w:jc w:val="both"/>
        <w:rPr>
          <w:lang w:val="de-DE"/>
        </w:rPr>
      </w:pPr>
      <w:r w:rsidRPr="005E6F5C">
        <w:t>Ekonomska škola Pula o</w:t>
      </w:r>
      <w:proofErr w:type="spellStart"/>
      <w:r w:rsidRPr="005E6F5C">
        <w:rPr>
          <w:lang w:val="de-DE"/>
        </w:rPr>
        <w:t>snovana</w:t>
      </w:r>
      <w:proofErr w:type="spellEnd"/>
      <w:r w:rsidRPr="005E6F5C">
        <w:rPr>
          <w:lang w:val="de-DE"/>
        </w:rPr>
        <w:t xml:space="preserve"> je </w:t>
      </w:r>
      <w:proofErr w:type="spellStart"/>
      <w:r w:rsidRPr="005E6F5C">
        <w:rPr>
          <w:lang w:val="de-DE"/>
        </w:rPr>
        <w:t>Odlukom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Skupštine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Županije</w:t>
      </w:r>
      <w:proofErr w:type="spellEnd"/>
      <w:r w:rsidRPr="005E6F5C">
        <w:rPr>
          <w:lang w:val="de-DE"/>
        </w:rPr>
        <w:t xml:space="preserve"> o </w:t>
      </w:r>
      <w:proofErr w:type="spellStart"/>
      <w:r w:rsidRPr="005E6F5C">
        <w:rPr>
          <w:lang w:val="de-DE"/>
        </w:rPr>
        <w:t>prestanku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postojanja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Škole</w:t>
      </w:r>
      <w:proofErr w:type="spellEnd"/>
      <w:r w:rsidRPr="005E6F5C">
        <w:rPr>
          <w:lang w:val="de-DE"/>
        </w:rPr>
        <w:t xml:space="preserve"> u </w:t>
      </w:r>
      <w:proofErr w:type="spellStart"/>
      <w:r w:rsidRPr="005E6F5C">
        <w:rPr>
          <w:lang w:val="de-DE"/>
        </w:rPr>
        <w:t>društvenim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djelatnostima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Pula</w:t>
      </w:r>
      <w:proofErr w:type="spellEnd"/>
      <w:r w:rsidRPr="005E6F5C">
        <w:rPr>
          <w:lang w:val="de-DE"/>
        </w:rPr>
        <w:t xml:space="preserve"> i </w:t>
      </w:r>
      <w:proofErr w:type="spellStart"/>
      <w:r w:rsidRPr="005E6F5C">
        <w:rPr>
          <w:lang w:val="de-DE"/>
        </w:rPr>
        <w:t>osnivanju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Gimanzije</w:t>
      </w:r>
      <w:proofErr w:type="spellEnd"/>
      <w:r w:rsidRPr="005E6F5C">
        <w:rPr>
          <w:lang w:val="de-DE"/>
        </w:rPr>
        <w:t xml:space="preserve">, </w:t>
      </w:r>
      <w:proofErr w:type="spellStart"/>
      <w:r w:rsidRPr="005E6F5C">
        <w:rPr>
          <w:lang w:val="de-DE"/>
        </w:rPr>
        <w:t>Ekonomske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škole</w:t>
      </w:r>
      <w:proofErr w:type="spellEnd"/>
      <w:r w:rsidRPr="005E6F5C">
        <w:rPr>
          <w:lang w:val="de-DE"/>
        </w:rPr>
        <w:t xml:space="preserve"> i </w:t>
      </w:r>
      <w:proofErr w:type="spellStart"/>
      <w:r w:rsidRPr="005E6F5C">
        <w:rPr>
          <w:lang w:val="de-DE"/>
        </w:rPr>
        <w:t>Medicinske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škole</w:t>
      </w:r>
      <w:proofErr w:type="spellEnd"/>
      <w:r w:rsidRPr="005E6F5C">
        <w:rPr>
          <w:lang w:val="de-DE"/>
        </w:rPr>
        <w:t xml:space="preserve">, </w:t>
      </w:r>
      <w:proofErr w:type="spellStart"/>
      <w:r w:rsidRPr="005E6F5C">
        <w:rPr>
          <w:lang w:val="de-DE"/>
        </w:rPr>
        <w:t>od</w:t>
      </w:r>
      <w:proofErr w:type="spellEnd"/>
      <w:r w:rsidRPr="005E6F5C">
        <w:rPr>
          <w:lang w:val="de-DE"/>
        </w:rPr>
        <w:t xml:space="preserve"> 25.6.1992. </w:t>
      </w:r>
      <w:proofErr w:type="spellStart"/>
      <w:r w:rsidRPr="005E6F5C">
        <w:rPr>
          <w:lang w:val="de-DE"/>
        </w:rPr>
        <w:t>godine</w:t>
      </w:r>
      <w:proofErr w:type="spellEnd"/>
      <w:r w:rsidRPr="005E6F5C">
        <w:rPr>
          <w:lang w:val="de-DE"/>
        </w:rPr>
        <w:t xml:space="preserve">. </w:t>
      </w:r>
    </w:p>
    <w:p w14:paraId="0529C8F2" w14:textId="77777777" w:rsidR="005E6F5C" w:rsidRPr="005E6F5C" w:rsidRDefault="005E6F5C" w:rsidP="005E6F5C">
      <w:pPr>
        <w:contextualSpacing/>
        <w:jc w:val="both"/>
      </w:pPr>
      <w:r w:rsidRPr="005E6F5C">
        <w:t xml:space="preserve">Ekonomska škola Pula upisuje dva razredna odjela koji se školuju za zanimanje ekonomist te jedan razredni odjel koji se školuje za zanimanje poslovni tajnik. U svaki razredni odjel upisuje se ukupno 24 učenika. </w:t>
      </w:r>
    </w:p>
    <w:p w14:paraId="2F0EABE7" w14:textId="4A59A1F0" w:rsidR="005E6F5C" w:rsidRPr="005E6F5C" w:rsidRDefault="005E6F5C" w:rsidP="005E6F5C">
      <w:pPr>
        <w:contextualSpacing/>
        <w:jc w:val="both"/>
      </w:pPr>
      <w:r w:rsidRPr="005E6F5C">
        <w:t xml:space="preserve">U </w:t>
      </w:r>
      <w:proofErr w:type="spellStart"/>
      <w:r w:rsidRPr="005E6F5C">
        <w:t>šk.god</w:t>
      </w:r>
      <w:proofErr w:type="spellEnd"/>
      <w:r w:rsidRPr="005E6F5C">
        <w:t>. 202</w:t>
      </w:r>
      <w:r w:rsidR="00F16B12">
        <w:t>3</w:t>
      </w:r>
      <w:r w:rsidRPr="005E6F5C">
        <w:t>./202</w:t>
      </w:r>
      <w:r w:rsidR="00F16B12">
        <w:t>4</w:t>
      </w:r>
      <w:r w:rsidRPr="005E6F5C">
        <w:t>. Ekonomsku školu Pula pohađa ukupno 27</w:t>
      </w:r>
      <w:r w:rsidR="00AF03D0">
        <w:t>4</w:t>
      </w:r>
      <w:r w:rsidRPr="005E6F5C">
        <w:t xml:space="preserve"> učenika te je zaposleno  4</w:t>
      </w:r>
      <w:r w:rsidR="00F16B12">
        <w:t xml:space="preserve">7 </w:t>
      </w:r>
      <w:r w:rsidRPr="005E6F5C">
        <w:t>redovnih radnika</w:t>
      </w:r>
      <w:r w:rsidR="009543E6">
        <w:t xml:space="preserve"> i </w:t>
      </w:r>
      <w:r w:rsidR="00F16B12">
        <w:t>9</w:t>
      </w:r>
      <w:r w:rsidR="00687876">
        <w:t xml:space="preserve"> </w:t>
      </w:r>
      <w:r w:rsidRPr="005E6F5C">
        <w:t>pomoćnik</w:t>
      </w:r>
      <w:r w:rsidR="009543E6">
        <w:t>a</w:t>
      </w:r>
      <w:r w:rsidRPr="005E6F5C">
        <w:t xml:space="preserve"> u nastavi kroz program Mozaik</w:t>
      </w:r>
      <w:r w:rsidR="007C5838">
        <w:t xml:space="preserve"> </w:t>
      </w:r>
      <w:r w:rsidR="00F16B12">
        <w:t>6</w:t>
      </w:r>
      <w:r w:rsidRPr="005E6F5C">
        <w:t xml:space="preserve">. </w:t>
      </w:r>
    </w:p>
    <w:p w14:paraId="60E59B67" w14:textId="77777777" w:rsidR="005E6F5C" w:rsidRPr="005E6F5C" w:rsidRDefault="005E6F5C" w:rsidP="005E6F5C">
      <w:pPr>
        <w:contextualSpacing/>
        <w:jc w:val="both"/>
      </w:pPr>
      <w:r w:rsidRPr="005E6F5C">
        <w:t xml:space="preserve">Škola ima odobrenje Ministarstva znanosti i obrazovanja za nastavne planove i programe iz sektora ekonomije, trgovine i poslovne administracije za zanimanje ekonomist i poslovni tajnik.  </w:t>
      </w:r>
    </w:p>
    <w:p w14:paraId="63879A21" w14:textId="77777777" w:rsidR="005E6F5C" w:rsidRPr="005E6F5C" w:rsidRDefault="005E6F5C" w:rsidP="005E6F5C">
      <w:pPr>
        <w:contextualSpacing/>
        <w:jc w:val="both"/>
        <w:rPr>
          <w:lang w:val="en-US"/>
        </w:rPr>
      </w:pPr>
      <w:proofErr w:type="spellStart"/>
      <w:proofErr w:type="gramStart"/>
      <w:r w:rsidRPr="005E6F5C">
        <w:rPr>
          <w:lang w:val="en-US"/>
        </w:rPr>
        <w:t>Djelatnost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Škole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ostvaruje</w:t>
      </w:r>
      <w:proofErr w:type="spellEnd"/>
      <w:r w:rsidRPr="005E6F5C">
        <w:rPr>
          <w:lang w:val="en-US"/>
        </w:rPr>
        <w:t xml:space="preserve"> se </w:t>
      </w:r>
      <w:proofErr w:type="spellStart"/>
      <w:r w:rsidRPr="005E6F5C">
        <w:rPr>
          <w:lang w:val="en-US"/>
        </w:rPr>
        <w:t>na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temelju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Nastavnog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plana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programa</w:t>
      </w:r>
      <w:proofErr w:type="spellEnd"/>
      <w:r w:rsidRPr="005E6F5C">
        <w:rPr>
          <w:lang w:val="en-US"/>
        </w:rPr>
        <w:t xml:space="preserve">, </w:t>
      </w:r>
      <w:proofErr w:type="spellStart"/>
      <w:r w:rsidRPr="005E6F5C">
        <w:rPr>
          <w:lang w:val="en-US"/>
        </w:rPr>
        <w:t>Školskog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kurikuluma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Godišnjeg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plana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programa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rada</w:t>
      </w:r>
      <w:proofErr w:type="spellEnd"/>
      <w:r w:rsidRPr="005E6F5C">
        <w:rPr>
          <w:lang w:val="en-US"/>
        </w:rPr>
        <w:t xml:space="preserve">, a u </w:t>
      </w:r>
      <w:proofErr w:type="spellStart"/>
      <w:r w:rsidRPr="005E6F5C">
        <w:rPr>
          <w:lang w:val="en-US"/>
        </w:rPr>
        <w:t>skladu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sa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Zakonom</w:t>
      </w:r>
      <w:proofErr w:type="spellEnd"/>
      <w:r w:rsidRPr="005E6F5C">
        <w:rPr>
          <w:lang w:val="en-US"/>
        </w:rPr>
        <w:t xml:space="preserve"> o </w:t>
      </w:r>
      <w:proofErr w:type="spellStart"/>
      <w:r w:rsidRPr="005E6F5C">
        <w:rPr>
          <w:lang w:val="en-US"/>
        </w:rPr>
        <w:t>ustanovama</w:t>
      </w:r>
      <w:proofErr w:type="spellEnd"/>
      <w:r w:rsidRPr="005E6F5C">
        <w:rPr>
          <w:lang w:val="en-US"/>
        </w:rPr>
        <w:t xml:space="preserve"> (NN</w:t>
      </w:r>
      <w:r w:rsidRPr="005E6F5C">
        <w:rPr>
          <w:color w:val="FF0000"/>
          <w:lang w:val="en-US"/>
        </w:rPr>
        <w:t xml:space="preserve"> </w:t>
      </w:r>
      <w:r w:rsidRPr="005E6F5C">
        <w:rPr>
          <w:lang w:val="en-US"/>
        </w:rPr>
        <w:t xml:space="preserve">76/93, 29/97, 47/99, 35/08), </w:t>
      </w:r>
      <w:proofErr w:type="spellStart"/>
      <w:r w:rsidRPr="005E6F5C">
        <w:rPr>
          <w:lang w:val="en-US"/>
        </w:rPr>
        <w:t>Zakonom</w:t>
      </w:r>
      <w:proofErr w:type="spellEnd"/>
      <w:r w:rsidRPr="005E6F5C">
        <w:rPr>
          <w:lang w:val="en-US"/>
        </w:rPr>
        <w:t xml:space="preserve"> o </w:t>
      </w:r>
      <w:proofErr w:type="spellStart"/>
      <w:r w:rsidRPr="005E6F5C">
        <w:rPr>
          <w:lang w:val="en-US"/>
        </w:rPr>
        <w:t>odgoju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obrazovanju</w:t>
      </w:r>
      <w:proofErr w:type="spellEnd"/>
      <w:r w:rsidRPr="005E6F5C">
        <w:rPr>
          <w:lang w:val="en-US"/>
        </w:rPr>
        <w:t xml:space="preserve"> u </w:t>
      </w:r>
      <w:proofErr w:type="spellStart"/>
      <w:r w:rsidRPr="005E6F5C">
        <w:rPr>
          <w:lang w:val="en-US"/>
        </w:rPr>
        <w:t>osnovnoj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srednjoj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školi</w:t>
      </w:r>
      <w:proofErr w:type="spellEnd"/>
      <w:r w:rsidRPr="005E6F5C">
        <w:rPr>
          <w:lang w:val="en-US"/>
        </w:rPr>
        <w:t xml:space="preserve"> (NN 87/08, 86/09, 92/10, 105/10- </w:t>
      </w:r>
      <w:proofErr w:type="spellStart"/>
      <w:r w:rsidRPr="005E6F5C">
        <w:rPr>
          <w:lang w:val="en-US"/>
        </w:rPr>
        <w:t>ispravak</w:t>
      </w:r>
      <w:proofErr w:type="spellEnd"/>
      <w:r w:rsidRPr="005E6F5C">
        <w:rPr>
          <w:lang w:val="en-US"/>
        </w:rPr>
        <w:t xml:space="preserve">, 90/11, 5/12, 16/12, 86/12, 126/12, 94/13, 152/14, 7/17, 68/18, 98/19)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Statutom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Škole</w:t>
      </w:r>
      <w:proofErr w:type="spellEnd"/>
      <w:r w:rsidRPr="005E6F5C">
        <w:rPr>
          <w:lang w:val="en-US"/>
        </w:rPr>
        <w:t>.</w:t>
      </w:r>
      <w:proofErr w:type="gramEnd"/>
    </w:p>
    <w:p w14:paraId="6430CA6A" w14:textId="77777777" w:rsidR="005E6F5C" w:rsidRDefault="005E6F5C" w:rsidP="005E6F5C">
      <w:pPr>
        <w:contextualSpacing/>
        <w:jc w:val="both"/>
        <w:rPr>
          <w:lang w:val="pl-PL"/>
        </w:rPr>
      </w:pPr>
    </w:p>
    <w:p w14:paraId="3ED229F6" w14:textId="77777777" w:rsidR="00C850CE" w:rsidRPr="00C850CE" w:rsidRDefault="00C850CE" w:rsidP="00C850CE">
      <w:pPr>
        <w:rPr>
          <w:lang w:val="pl-PL" w:eastAsia="en-US"/>
        </w:rPr>
      </w:pPr>
      <w:r w:rsidRPr="00C850CE">
        <w:rPr>
          <w:lang w:val="pl-PL"/>
        </w:rPr>
        <w:t>Obveza sastavljanja financijskih izvještaja u sustavu proračuna propisana je odredbama čl. 105 Zakona o proračunu („Narodne novine”, br. 87/08, 136/12 i 15/15), a Pravilnikom o financijskom izvještavanju u proračunskom računovodstvu („Narodne novine”, br. 3/15, 93/15, 135/15, 2/17, 28/17, 112/18 i 126/19) propisani su obrasci, njihov sadržaj i oblik financijskih izvještaja. Financijski izvještaj za proračunsku godinu sastavlja se na sljedećim obrascima:</w:t>
      </w:r>
    </w:p>
    <w:p w14:paraId="1FA099F6" w14:textId="77777777" w:rsidR="00C850CE" w:rsidRPr="00C850CE" w:rsidRDefault="00C850CE" w:rsidP="00C850C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lang w:val="pl-PL"/>
        </w:rPr>
      </w:pPr>
      <w:r w:rsidRPr="00C850CE">
        <w:rPr>
          <w:lang w:val="pl-PL"/>
        </w:rPr>
        <w:t>Bilanca na obrascu BIL</w:t>
      </w:r>
    </w:p>
    <w:p w14:paraId="6F3F32CE" w14:textId="77777777" w:rsidR="00C850CE" w:rsidRPr="00C850CE" w:rsidRDefault="00C850CE" w:rsidP="00C850C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lang w:val="pl-PL"/>
        </w:rPr>
      </w:pPr>
      <w:r w:rsidRPr="00C850CE">
        <w:rPr>
          <w:lang w:val="pl-PL"/>
        </w:rPr>
        <w:t>Izvještaj o prihodima i rashodima, primicima i izdacima na obrascu PR-RAS</w:t>
      </w:r>
    </w:p>
    <w:p w14:paraId="668CEAC4" w14:textId="77777777" w:rsidR="00C850CE" w:rsidRPr="00C850CE" w:rsidRDefault="00C850CE" w:rsidP="00C850C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lang w:val="pl-PL"/>
        </w:rPr>
      </w:pPr>
      <w:r w:rsidRPr="00C850CE">
        <w:rPr>
          <w:lang w:val="pl-PL"/>
        </w:rPr>
        <w:t>Izvještaj o rashodima prema funkcijskoj klasifikaciji na obrascu RAS-funkcijski</w:t>
      </w:r>
    </w:p>
    <w:p w14:paraId="47174AA1" w14:textId="77777777" w:rsidR="00C850CE" w:rsidRPr="00C850CE" w:rsidRDefault="00C850CE" w:rsidP="00C850C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lang w:val="pl-PL"/>
        </w:rPr>
      </w:pPr>
      <w:r w:rsidRPr="00C850CE">
        <w:rPr>
          <w:lang w:val="pl-PL"/>
        </w:rPr>
        <w:t>Izvještaj o promjenama u vrijednosti i obujmu imovine i obveza na obrascu P-VRIO</w:t>
      </w:r>
    </w:p>
    <w:p w14:paraId="6396CBC4" w14:textId="77777777" w:rsidR="00C850CE" w:rsidRPr="00C850CE" w:rsidRDefault="00C850CE" w:rsidP="00C850CE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lang w:val="pl-PL"/>
        </w:rPr>
      </w:pPr>
      <w:r w:rsidRPr="00C850CE">
        <w:rPr>
          <w:lang w:val="pl-PL"/>
        </w:rPr>
        <w:t>Izvještaj o obvezama na obrascu OBVEZE</w:t>
      </w:r>
    </w:p>
    <w:p w14:paraId="2B1410C5" w14:textId="77777777" w:rsidR="00C850CE" w:rsidRDefault="00C850CE" w:rsidP="00C850CE">
      <w:pPr>
        <w:rPr>
          <w:rFonts w:ascii="Arial" w:hAnsi="Arial" w:cs="Arial"/>
          <w:sz w:val="22"/>
          <w:szCs w:val="22"/>
          <w:lang w:val="pl-PL"/>
        </w:rPr>
      </w:pPr>
      <w:r w:rsidRPr="00C850CE">
        <w:rPr>
          <w:lang w:val="pl-PL"/>
        </w:rPr>
        <w:t>Pored navedenih obrazaca, sastavni dio financijskog izvještaja su i Bilješke uz financijski izvještaj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3BD424FE" w14:textId="77777777" w:rsidR="00C850CE" w:rsidRDefault="00C850CE" w:rsidP="00C850CE">
      <w:pPr>
        <w:rPr>
          <w:rFonts w:ascii="Arial" w:hAnsi="Arial" w:cs="Arial"/>
          <w:sz w:val="22"/>
          <w:szCs w:val="22"/>
          <w:lang w:val="pl-PL"/>
        </w:rPr>
      </w:pPr>
    </w:p>
    <w:p w14:paraId="549BEC6E" w14:textId="77777777" w:rsidR="00C850CE" w:rsidRPr="005E6F5C" w:rsidRDefault="00C850CE" w:rsidP="005E6F5C">
      <w:pPr>
        <w:contextualSpacing/>
        <w:jc w:val="both"/>
        <w:rPr>
          <w:lang w:val="pl-PL"/>
        </w:rPr>
      </w:pPr>
    </w:p>
    <w:p w14:paraId="7CCA0EB9" w14:textId="77777777" w:rsidR="00C708F5" w:rsidRPr="008F1FC7" w:rsidRDefault="005E6F5C" w:rsidP="0046622D">
      <w:pPr>
        <w:ind w:left="1134" w:hanging="1134"/>
        <w:rPr>
          <w:b/>
        </w:rPr>
      </w:pPr>
      <w:r w:rsidRPr="008F1FC7">
        <w:rPr>
          <w:b/>
        </w:rPr>
        <w:t>Bilješke uz Bilancu</w:t>
      </w:r>
    </w:p>
    <w:p w14:paraId="6EA3DC72" w14:textId="77777777" w:rsidR="005E6F5C" w:rsidRDefault="005E6F5C" w:rsidP="0046622D">
      <w:pPr>
        <w:ind w:left="1134" w:hanging="1134"/>
      </w:pPr>
    </w:p>
    <w:p w14:paraId="1F4CEA64" w14:textId="0205EE41" w:rsidR="005E6F5C" w:rsidRDefault="00687876" w:rsidP="0046622D">
      <w:pPr>
        <w:ind w:left="1134" w:hanging="1134"/>
      </w:pPr>
      <w:r>
        <w:rPr>
          <w:b/>
        </w:rPr>
        <w:t>B</w:t>
      </w:r>
      <w:r w:rsidR="005E6F5C" w:rsidRPr="008F1FC7">
        <w:rPr>
          <w:b/>
        </w:rPr>
        <w:t xml:space="preserve"> 002</w:t>
      </w:r>
      <w:r w:rsidR="005E6F5C">
        <w:tab/>
        <w:t>Smanjena je vrijednost imovine zbog redovnog godišnjeg obračuna amortizacije po zakonskim stopama.</w:t>
      </w:r>
    </w:p>
    <w:p w14:paraId="64C8C43C" w14:textId="77777777" w:rsidR="009543E6" w:rsidRDefault="009543E6" w:rsidP="0046622D">
      <w:pPr>
        <w:ind w:left="1134" w:hanging="1134"/>
      </w:pPr>
    </w:p>
    <w:p w14:paraId="7920B680" w14:textId="5404FC58" w:rsidR="006164DD" w:rsidRDefault="00687876" w:rsidP="0046622D">
      <w:pPr>
        <w:ind w:left="1134" w:hanging="1134"/>
      </w:pPr>
      <w:r w:rsidRPr="00687876">
        <w:rPr>
          <w:b/>
          <w:bCs/>
        </w:rPr>
        <w:t>022 i 0921</w:t>
      </w:r>
      <w:r w:rsidR="006164DD">
        <w:tab/>
        <w:t xml:space="preserve">Postrojenja i oprema vrijednost </w:t>
      </w:r>
      <w:r w:rsidR="0038737C">
        <w:t>je</w:t>
      </w:r>
      <w:r w:rsidR="009543E6">
        <w:t xml:space="preserve"> </w:t>
      </w:r>
      <w:r w:rsidR="00C05F8E">
        <w:t xml:space="preserve">povećana </w:t>
      </w:r>
      <w:r w:rsidR="009543E6">
        <w:t>zbog</w:t>
      </w:r>
      <w:r w:rsidR="006164DD">
        <w:t xml:space="preserve"> </w:t>
      </w:r>
      <w:r w:rsidR="0038737C">
        <w:t>prijenosa osnovnog sredstva iz vanbilančne evidencije po naputku MZO-a</w:t>
      </w:r>
      <w:r w:rsidR="006164DD">
        <w:t>.</w:t>
      </w:r>
    </w:p>
    <w:p w14:paraId="77064EA6" w14:textId="77777777" w:rsidR="006164DD" w:rsidRDefault="006164DD" w:rsidP="0046622D">
      <w:pPr>
        <w:ind w:left="1134" w:hanging="1134"/>
      </w:pPr>
    </w:p>
    <w:p w14:paraId="480423C6" w14:textId="64FEE89E" w:rsidR="006164DD" w:rsidRDefault="00687876" w:rsidP="0046622D">
      <w:pPr>
        <w:ind w:left="1134" w:hanging="1134"/>
      </w:pPr>
      <w:r w:rsidRPr="00341B5D">
        <w:rPr>
          <w:b/>
          <w:bCs/>
        </w:rPr>
        <w:t>024</w:t>
      </w:r>
      <w:r w:rsidR="00341B5D" w:rsidRPr="00341B5D">
        <w:rPr>
          <w:b/>
          <w:bCs/>
        </w:rPr>
        <w:t xml:space="preserve"> i 02924</w:t>
      </w:r>
      <w:r w:rsidR="006164DD">
        <w:t xml:space="preserve"> </w:t>
      </w:r>
      <w:r w:rsidR="006164DD">
        <w:tab/>
        <w:t>Smanjenje vrijednosti knjiga u odnosu na prethodnu godinu dogodilo se zbog obračunatog ispravka vrijednosti knjiga u školskoj knjižnici (knjige s</w:t>
      </w:r>
      <w:r w:rsidR="009543E6">
        <w:t>u</w:t>
      </w:r>
      <w:r w:rsidR="006164DD">
        <w:t xml:space="preserve"> sve</w:t>
      </w:r>
      <w:r w:rsidR="009543E6">
        <w:t xml:space="preserve"> za </w:t>
      </w:r>
      <w:r w:rsidR="006164DD">
        <w:t xml:space="preserve"> posu</w:t>
      </w:r>
      <w:r w:rsidR="009543E6">
        <w:t>db</w:t>
      </w:r>
      <w:r w:rsidR="006164DD">
        <w:t>u)</w:t>
      </w:r>
      <w:r w:rsidR="007A07A0">
        <w:t xml:space="preserve">, istovremeno je i nabavljeno </w:t>
      </w:r>
      <w:r w:rsidR="0038737C">
        <w:t xml:space="preserve">manje </w:t>
      </w:r>
      <w:r w:rsidR="007A07A0">
        <w:t>novih</w:t>
      </w:r>
      <w:r w:rsidR="0038737C">
        <w:t xml:space="preserve"> naslova u odnosu na prethodnu godinu</w:t>
      </w:r>
      <w:r w:rsidR="006164DD">
        <w:t>.</w:t>
      </w:r>
    </w:p>
    <w:p w14:paraId="61DD4B4E" w14:textId="77777777" w:rsidR="006164DD" w:rsidRPr="008F1FC7" w:rsidRDefault="006164DD" w:rsidP="0046622D">
      <w:pPr>
        <w:ind w:left="1134" w:hanging="1134"/>
        <w:rPr>
          <w:b/>
        </w:rPr>
      </w:pPr>
    </w:p>
    <w:p w14:paraId="019ECA27" w14:textId="353E7FDF" w:rsidR="006164DD" w:rsidRDefault="00341B5D" w:rsidP="0046622D">
      <w:pPr>
        <w:ind w:left="1134" w:hanging="1134"/>
      </w:pPr>
      <w:r w:rsidRPr="00341B5D">
        <w:rPr>
          <w:b/>
          <w:bCs/>
        </w:rPr>
        <w:t>042 i 049</w:t>
      </w:r>
      <w:r w:rsidR="00EF3FAF">
        <w:tab/>
        <w:t xml:space="preserve">Sitan inventar povećana je vrijednost zbog nabave sitnog inventara u </w:t>
      </w:r>
      <w:r>
        <w:t xml:space="preserve">tekućoj </w:t>
      </w:r>
      <w:r w:rsidR="00EF3FAF">
        <w:t>g</w:t>
      </w:r>
      <w:r>
        <w:t>odini</w:t>
      </w:r>
    </w:p>
    <w:p w14:paraId="43BDF357" w14:textId="77777777" w:rsidR="007A07A0" w:rsidRDefault="007A07A0" w:rsidP="0046622D">
      <w:pPr>
        <w:ind w:left="1134" w:hanging="1134"/>
      </w:pPr>
    </w:p>
    <w:p w14:paraId="64D93405" w14:textId="589D157A" w:rsidR="00341B5D" w:rsidRDefault="00341B5D" w:rsidP="00341B5D">
      <w:pPr>
        <w:ind w:left="1134" w:hanging="1134"/>
      </w:pPr>
      <w:r>
        <w:rPr>
          <w:b/>
        </w:rPr>
        <w:t>11</w:t>
      </w:r>
      <w:r w:rsidR="006A66C0">
        <w:t xml:space="preserve"> </w:t>
      </w:r>
      <w:r w:rsidR="006A66C0">
        <w:tab/>
        <w:t xml:space="preserve">Novčana sredstva </w:t>
      </w:r>
      <w:r>
        <w:t xml:space="preserve">na žiro računu i u </w:t>
      </w:r>
      <w:r w:rsidR="006A66C0">
        <w:t xml:space="preserve"> blagajni </w:t>
      </w:r>
      <w:r w:rsidR="0038737C">
        <w:t>manja su</w:t>
      </w:r>
      <w:r w:rsidR="006A66C0">
        <w:t xml:space="preserve"> u odnosu na prethodnu godinu zbog </w:t>
      </w:r>
      <w:r w:rsidR="0038737C">
        <w:t>podmirenja svih primljenih računa krajem 2023.g. (29.12.)</w:t>
      </w:r>
    </w:p>
    <w:p w14:paraId="4B94B25D" w14:textId="77777777" w:rsidR="00341B5D" w:rsidRDefault="00341B5D" w:rsidP="00341B5D">
      <w:pPr>
        <w:ind w:left="1134" w:hanging="1134"/>
      </w:pPr>
    </w:p>
    <w:p w14:paraId="58B80873" w14:textId="77777777" w:rsidR="00D42AA4" w:rsidRDefault="00341B5D" w:rsidP="00341B5D">
      <w:pPr>
        <w:ind w:left="1134" w:hanging="1134"/>
      </w:pPr>
      <w:r w:rsidRPr="00341B5D">
        <w:rPr>
          <w:b/>
          <w:bCs/>
        </w:rPr>
        <w:t>123</w:t>
      </w:r>
      <w:r w:rsidRPr="00341B5D">
        <w:rPr>
          <w:b/>
          <w:bCs/>
        </w:rPr>
        <w:tab/>
      </w:r>
      <w:r>
        <w:t>Potraživanja od zaposlenih za isplaćen</w:t>
      </w:r>
      <w:r w:rsidR="0038737C">
        <w:t>e</w:t>
      </w:r>
      <w:r>
        <w:t xml:space="preserve"> akontacij</w:t>
      </w:r>
      <w:r w:rsidR="0038737C">
        <w:t>e</w:t>
      </w:r>
      <w:r>
        <w:t xml:space="preserve"> za služben</w:t>
      </w:r>
      <w:r w:rsidR="0038737C">
        <w:t>a</w:t>
      </w:r>
      <w:r>
        <w:t xml:space="preserve"> putovanj</w:t>
      </w:r>
      <w:r w:rsidR="0038737C">
        <w:t>a početkom godine</w:t>
      </w:r>
      <w:r>
        <w:t>.</w:t>
      </w:r>
    </w:p>
    <w:p w14:paraId="6C0097C6" w14:textId="77777777" w:rsidR="00D42AA4" w:rsidRDefault="00D42AA4" w:rsidP="00341B5D">
      <w:pPr>
        <w:ind w:left="1134" w:hanging="1134"/>
      </w:pPr>
    </w:p>
    <w:p w14:paraId="595E82BF" w14:textId="2B8D2D24" w:rsidR="00D42AA4" w:rsidRPr="00D42AA4" w:rsidRDefault="00D42AA4" w:rsidP="00341B5D">
      <w:pPr>
        <w:ind w:left="1134" w:hanging="1134"/>
        <w:rPr>
          <w:b/>
          <w:bCs/>
        </w:rPr>
      </w:pPr>
      <w:r w:rsidRPr="00D42AA4">
        <w:rPr>
          <w:b/>
          <w:bCs/>
        </w:rPr>
        <w:t>124</w:t>
      </w:r>
      <w:r w:rsidRPr="00D42AA4">
        <w:rPr>
          <w:b/>
          <w:bCs/>
        </w:rPr>
        <w:tab/>
      </w:r>
      <w:r w:rsidRPr="00D42AA4">
        <w:t>Potraživanja za više plaćene poreze i doprinose</w:t>
      </w:r>
      <w:r w:rsidR="006A66C0" w:rsidRPr="00D42AA4">
        <w:rPr>
          <w:b/>
          <w:bCs/>
        </w:rPr>
        <w:t xml:space="preserve"> </w:t>
      </w:r>
      <w:r>
        <w:t>odnosi se na potraživanja od porezne uprave za više plaćene poreze i doprinose (greškom je isplaćena veća plaća od potrebne, radnica je uplatila neto na žiro-račun, a porezi i doprinosi će biti vraćeni nakon obrade SNU obrasca).</w:t>
      </w:r>
      <w:r>
        <w:rPr>
          <w:b/>
          <w:bCs/>
        </w:rPr>
        <w:tab/>
      </w:r>
    </w:p>
    <w:p w14:paraId="02696F95" w14:textId="77777777" w:rsidR="006A66C0" w:rsidRDefault="006A66C0" w:rsidP="0046622D">
      <w:pPr>
        <w:ind w:left="1134" w:hanging="1134"/>
      </w:pPr>
    </w:p>
    <w:p w14:paraId="21EA6373" w14:textId="1B842659" w:rsidR="006A66C0" w:rsidRDefault="00341B5D" w:rsidP="0046622D">
      <w:pPr>
        <w:ind w:left="1134" w:hanging="1134"/>
      </w:pPr>
      <w:r>
        <w:rPr>
          <w:b/>
        </w:rPr>
        <w:t>129</w:t>
      </w:r>
      <w:r w:rsidR="006A66C0">
        <w:tab/>
        <w:t>Ostala potraživanja se odnose na isplaćena bolovanja na teret HZZO-a.</w:t>
      </w:r>
    </w:p>
    <w:p w14:paraId="37F5EEB9" w14:textId="77777777" w:rsidR="006A66C0" w:rsidRDefault="006A66C0" w:rsidP="0046622D">
      <w:pPr>
        <w:ind w:left="1134" w:hanging="1134"/>
      </w:pPr>
    </w:p>
    <w:p w14:paraId="70D405AC" w14:textId="73A4B9F0" w:rsidR="006A66C0" w:rsidRDefault="00341B5D" w:rsidP="0046622D">
      <w:pPr>
        <w:ind w:left="1134" w:hanging="1134"/>
      </w:pPr>
      <w:r>
        <w:rPr>
          <w:b/>
        </w:rPr>
        <w:t>163</w:t>
      </w:r>
      <w:r w:rsidR="006A66C0">
        <w:tab/>
        <w:t xml:space="preserve">Potraživanja </w:t>
      </w:r>
      <w:r w:rsidR="00135D0D">
        <w:t>se odnose na potraživanja za prijevoz učenika s teškoćama u razvoju i potraživanja za troškove voća (škola je uključena u program shema voće po kojem tjedno dobivamo voće za učenike)</w:t>
      </w:r>
      <w:r w:rsidR="007E467D">
        <w:t>.</w:t>
      </w:r>
    </w:p>
    <w:p w14:paraId="20309C6E" w14:textId="77777777" w:rsidR="00D42AA4" w:rsidRDefault="00D42AA4" w:rsidP="0046622D">
      <w:pPr>
        <w:ind w:left="1134" w:hanging="1134"/>
      </w:pPr>
    </w:p>
    <w:p w14:paraId="5BC532C8" w14:textId="6F634267" w:rsidR="00D42AA4" w:rsidRDefault="00D42AA4" w:rsidP="0046622D">
      <w:pPr>
        <w:ind w:left="1134" w:hanging="1134"/>
      </w:pPr>
      <w:r w:rsidRPr="00D42AA4">
        <w:rPr>
          <w:b/>
          <w:bCs/>
        </w:rPr>
        <w:t>164</w:t>
      </w:r>
      <w:r>
        <w:tab/>
        <w:t>Potraživanja za prihode od prodanih proizvoda odnosi se na prodane monografije na sajmu knjiga.</w:t>
      </w:r>
    </w:p>
    <w:p w14:paraId="10EA88DB" w14:textId="77777777" w:rsidR="00135D0D" w:rsidRDefault="00135D0D" w:rsidP="0046622D">
      <w:pPr>
        <w:ind w:left="1134" w:hanging="1134"/>
      </w:pPr>
    </w:p>
    <w:p w14:paraId="189413C9" w14:textId="241AF2DC" w:rsidR="006A66C0" w:rsidRDefault="00341B5D" w:rsidP="0046622D">
      <w:pPr>
        <w:ind w:left="1134" w:hanging="1134"/>
      </w:pPr>
      <w:r>
        <w:rPr>
          <w:b/>
        </w:rPr>
        <w:t>166</w:t>
      </w:r>
      <w:r w:rsidR="006A66C0">
        <w:tab/>
        <w:t xml:space="preserve">Potraživanja za prihode od najma prostora </w:t>
      </w:r>
      <w:r>
        <w:t>za aparat za tople napitke. Račun je izdan krajem prosinca i naplaćen je do 15.1.202</w:t>
      </w:r>
      <w:r w:rsidR="00D42AA4">
        <w:t>4</w:t>
      </w:r>
      <w:r>
        <w:t>.g</w:t>
      </w:r>
      <w:r w:rsidR="006A66C0">
        <w:t>.</w:t>
      </w:r>
    </w:p>
    <w:p w14:paraId="03C7B288" w14:textId="77777777" w:rsidR="006A66C0" w:rsidRDefault="006A66C0" w:rsidP="0046622D">
      <w:pPr>
        <w:ind w:left="1134" w:hanging="1134"/>
      </w:pPr>
    </w:p>
    <w:p w14:paraId="1F18BAD7" w14:textId="0EB1BDFE" w:rsidR="006A66C0" w:rsidRDefault="00AD53BB" w:rsidP="0046622D">
      <w:pPr>
        <w:ind w:left="1134" w:hanging="1134"/>
      </w:pPr>
      <w:r>
        <w:rPr>
          <w:b/>
        </w:rPr>
        <w:t>19</w:t>
      </w:r>
      <w:r w:rsidR="00E91FA2">
        <w:tab/>
        <w:t xml:space="preserve">Kontinuirani rashodi budućih razdoblja odnose se na obveze za </w:t>
      </w:r>
      <w:r>
        <w:t xml:space="preserve">isplaćene </w:t>
      </w:r>
      <w:r w:rsidR="00E91FA2">
        <w:t xml:space="preserve">plaće </w:t>
      </w:r>
      <w:r>
        <w:t xml:space="preserve">redovnih radnika i pomoćnika u nastavi, kao i za naknade </w:t>
      </w:r>
      <w:r w:rsidR="00E91FA2">
        <w:t>za mjesec</w:t>
      </w:r>
      <w:r>
        <w:t xml:space="preserve"> studeni i </w:t>
      </w:r>
      <w:r w:rsidR="00E91FA2">
        <w:t xml:space="preserve"> prosinac.</w:t>
      </w:r>
    </w:p>
    <w:p w14:paraId="53D26E66" w14:textId="4AE21094" w:rsidR="00AD53BB" w:rsidRDefault="00AD53BB" w:rsidP="0046622D">
      <w:pPr>
        <w:ind w:left="1134" w:hanging="1134"/>
      </w:pPr>
    </w:p>
    <w:p w14:paraId="5DA2C938" w14:textId="3242BD8E" w:rsidR="00AD53BB" w:rsidRDefault="00AD53BB" w:rsidP="0046622D">
      <w:pPr>
        <w:ind w:left="1134" w:hanging="1134"/>
      </w:pPr>
      <w:r w:rsidRPr="00AD53BB">
        <w:rPr>
          <w:b/>
          <w:bCs/>
        </w:rPr>
        <w:t>23</w:t>
      </w:r>
      <w:r>
        <w:tab/>
        <w:t>Obveze za rashode poslovanja: povećanje u odnosu na prethodnu godinu</w:t>
      </w:r>
      <w:r w:rsidR="00D42AA4">
        <w:t xml:space="preserve"> </w:t>
      </w:r>
      <w:r>
        <w:t xml:space="preserve">zbog povećanja mase za isplate plaća, a obveze za materijalne rashode su </w:t>
      </w:r>
      <w:r w:rsidR="00D42AA4">
        <w:t>manje</w:t>
      </w:r>
      <w:r>
        <w:t xml:space="preserve"> zbog </w:t>
      </w:r>
      <w:r w:rsidR="00CE2961">
        <w:t xml:space="preserve">racionalizacije troškova. </w:t>
      </w:r>
      <w:r>
        <w:t xml:space="preserve">Obveze za financijske rashode odnose se na vođenje računa, plaćenog </w:t>
      </w:r>
      <w:r w:rsidR="00CE2961">
        <w:t>2</w:t>
      </w:r>
      <w:r>
        <w:t>.1.2</w:t>
      </w:r>
      <w:r w:rsidR="00CE2961">
        <w:t>4</w:t>
      </w:r>
      <w:r>
        <w:t>.</w:t>
      </w:r>
    </w:p>
    <w:p w14:paraId="12C47CC3" w14:textId="1AB24EAC" w:rsidR="00135D0D" w:rsidRDefault="00AD53BB" w:rsidP="0046622D">
      <w:pPr>
        <w:ind w:left="1134" w:hanging="1134"/>
      </w:pPr>
      <w:r>
        <w:t xml:space="preserve"> </w:t>
      </w:r>
    </w:p>
    <w:p w14:paraId="16F2F03A" w14:textId="155E5C1A" w:rsidR="00135D0D" w:rsidRDefault="00AD53BB" w:rsidP="0046622D">
      <w:pPr>
        <w:ind w:left="1134" w:hanging="1134"/>
      </w:pPr>
      <w:r>
        <w:rPr>
          <w:b/>
        </w:rPr>
        <w:t>239</w:t>
      </w:r>
      <w:r w:rsidR="00135D0D">
        <w:tab/>
        <w:t>Ostale tekuće obveze odnosi se na obveze za bolovanja na teret HZZO-a</w:t>
      </w:r>
      <w:r w:rsidR="00CE2961">
        <w:t xml:space="preserve"> – povećanje je zbog većeg broja radnika koji su na bolovanju na teret HZZO-a.</w:t>
      </w:r>
    </w:p>
    <w:p w14:paraId="00F69B12" w14:textId="4F38478A" w:rsidR="00C43A90" w:rsidRDefault="00C43A90" w:rsidP="0046622D">
      <w:pPr>
        <w:ind w:left="1134" w:hanging="1134"/>
      </w:pPr>
    </w:p>
    <w:p w14:paraId="3D1D6BB3" w14:textId="1DB3EE29" w:rsidR="00687AC1" w:rsidRDefault="00687AC1" w:rsidP="0046622D">
      <w:pPr>
        <w:ind w:left="1134" w:hanging="1134"/>
      </w:pPr>
      <w:r w:rsidRPr="00687AC1">
        <w:rPr>
          <w:b/>
        </w:rPr>
        <w:lastRenderedPageBreak/>
        <w:t>9111</w:t>
      </w:r>
      <w:r>
        <w:tab/>
        <w:t>Početno stanje je umanjeno za 0,01 € zbog zaokruživanja pri prijenosu sa kuna na euro.</w:t>
      </w:r>
    </w:p>
    <w:p w14:paraId="1AC44A40" w14:textId="77777777" w:rsidR="00687AC1" w:rsidRDefault="00687AC1" w:rsidP="0046622D">
      <w:pPr>
        <w:ind w:left="1134" w:hanging="1134"/>
      </w:pPr>
    </w:p>
    <w:p w14:paraId="1D5ECF7B" w14:textId="53986DE0" w:rsidR="00E91FA2" w:rsidRDefault="00AD53BB" w:rsidP="0046622D">
      <w:pPr>
        <w:ind w:left="1134" w:hanging="1134"/>
      </w:pPr>
      <w:r>
        <w:rPr>
          <w:b/>
        </w:rPr>
        <w:t>922</w:t>
      </w:r>
      <w:r w:rsidR="00E91FA2">
        <w:tab/>
        <w:t xml:space="preserve">Višak prihoda poslovanja </w:t>
      </w:r>
      <w:r w:rsidR="00CE2961">
        <w:t xml:space="preserve">smanjen je </w:t>
      </w:r>
      <w:r w:rsidR="00E91FA2">
        <w:t xml:space="preserve"> u odnosu </w:t>
      </w:r>
      <w:r w:rsidR="00F22C86">
        <w:t>n</w:t>
      </w:r>
      <w:r w:rsidR="00E91FA2">
        <w:t xml:space="preserve">a prethodnu godinu zbog </w:t>
      </w:r>
      <w:r w:rsidR="00CE2961">
        <w:t>t</w:t>
      </w:r>
      <w:r w:rsidR="00E91FA2">
        <w:t>rošen</w:t>
      </w:r>
      <w:r w:rsidR="00CE2961">
        <w:t>ja vlastitih</w:t>
      </w:r>
      <w:r w:rsidR="00E91FA2">
        <w:t xml:space="preserve"> sredstava</w:t>
      </w:r>
      <w:r w:rsidR="00CE2961">
        <w:t>,</w:t>
      </w:r>
      <w:r w:rsidR="00E91FA2">
        <w:t xml:space="preserve"> </w:t>
      </w:r>
      <w:r w:rsidR="00791329">
        <w:t xml:space="preserve">od učenika i ostvarenih prihoda od najma prostora. </w:t>
      </w:r>
      <w:r w:rsidR="00CE2961">
        <w:t>Preostali v</w:t>
      </w:r>
      <w:r w:rsidR="00791329">
        <w:t>išak se planira utrošiti na opremanje Škole</w:t>
      </w:r>
      <w:r w:rsidR="00FF3A39">
        <w:t>,</w:t>
      </w:r>
      <w:r w:rsidR="00791329">
        <w:t xml:space="preserve"> uređenj</w:t>
      </w:r>
      <w:r w:rsidR="00FF3A39">
        <w:t>a</w:t>
      </w:r>
      <w:r w:rsidR="00791329">
        <w:t xml:space="preserve"> okoliša škole</w:t>
      </w:r>
      <w:r w:rsidR="00FF3A39">
        <w:t>, sve u skladu s  potrebama i željama učenika</w:t>
      </w:r>
      <w:r w:rsidR="00791329">
        <w:t>.</w:t>
      </w:r>
    </w:p>
    <w:p w14:paraId="35A01043" w14:textId="229F8471" w:rsidR="00145807" w:rsidRDefault="00F22C86" w:rsidP="0046622D">
      <w:pPr>
        <w:ind w:left="1134" w:hanging="1134"/>
      </w:pPr>
      <w:r>
        <w:rPr>
          <w:b/>
        </w:rPr>
        <w:tab/>
      </w:r>
      <w:r>
        <w:t>Iz prethodne godine prenesen je višak prihoda od =6.840,63 €. U tekućoj godini ostvaren je manjak prihoda poslovanja od =1.380,93 € i manjak prihoda od nefinancijske imovine u iznosu od =913,92 €.</w:t>
      </w:r>
      <w:r w:rsidR="00145807">
        <w:t>Manjak prihoda od nefinancijske imovine umanjen je za =831,00 € za primljena sredstva za nabavu knjiga u knjižnici od MZO-a i Osnivača. Tokom godine ta su sredstva knjižena na kontima 6362 i 6712. Za isti iznos povećan je manjak prihoda poslovanja. Rezultat je ostao isti kao u PR-RAS obrascu.</w:t>
      </w:r>
    </w:p>
    <w:p w14:paraId="55E69975" w14:textId="589CB647" w:rsidR="00F22C86" w:rsidRPr="00F22C86" w:rsidRDefault="00F22C86" w:rsidP="00145807">
      <w:pPr>
        <w:ind w:left="1134"/>
      </w:pPr>
      <w:r>
        <w:t>Na dan 31.12.2023. ostvaren je ukupni višak prihoda od =4.545,78 €.</w:t>
      </w:r>
    </w:p>
    <w:p w14:paraId="594A563F" w14:textId="77777777" w:rsidR="00E91FA2" w:rsidRDefault="00E91FA2" w:rsidP="0046622D">
      <w:pPr>
        <w:ind w:left="1134" w:hanging="1134"/>
      </w:pPr>
    </w:p>
    <w:p w14:paraId="4405DA35" w14:textId="57FE01E5" w:rsidR="001F4C79" w:rsidRDefault="001F4C79" w:rsidP="0046622D">
      <w:pPr>
        <w:ind w:left="1134" w:hanging="1134"/>
      </w:pPr>
    </w:p>
    <w:p w14:paraId="2F90F72D" w14:textId="34830E91" w:rsidR="001F4C79" w:rsidRDefault="001F4C79" w:rsidP="0046622D">
      <w:pPr>
        <w:ind w:left="1134" w:hanging="1134"/>
      </w:pPr>
      <w:r>
        <w:t xml:space="preserve">Tablica započetih sudskih sporove </w:t>
      </w:r>
      <w:r w:rsidR="00791329">
        <w:t>prazna je jer Škola nema započetih sudskih sporova</w:t>
      </w:r>
      <w:r>
        <w:t>.</w:t>
      </w:r>
    </w:p>
    <w:p w14:paraId="67673D9B" w14:textId="4099B1F9" w:rsidR="001F4C79" w:rsidRDefault="001F4C79" w:rsidP="004D79F9">
      <w:r>
        <w:t>Tabela Popis ugovornih odnosa i sl. koji uz ispunjenje određenih uvjeta, mogu postati obveza je prazna jer takvih ugovora nemamo</w:t>
      </w:r>
      <w:r w:rsidR="00791329">
        <w:t>. Obje tabele su sastavni dio ovog izvještaja</w:t>
      </w:r>
      <w:r w:rsidR="00F72787">
        <w:t xml:space="preserve"> (1)</w:t>
      </w:r>
      <w:r w:rsidR="00791329">
        <w:t>.</w:t>
      </w:r>
    </w:p>
    <w:p w14:paraId="27381E7D" w14:textId="77777777" w:rsidR="006164DD" w:rsidRDefault="006164DD" w:rsidP="0046622D">
      <w:pPr>
        <w:ind w:left="1134" w:hanging="1134"/>
      </w:pPr>
    </w:p>
    <w:p w14:paraId="2EF65D47" w14:textId="77777777" w:rsidR="006164DD" w:rsidRDefault="006164DD" w:rsidP="0046622D">
      <w:pPr>
        <w:ind w:left="1134" w:hanging="1134"/>
      </w:pPr>
      <w:r>
        <w:tab/>
      </w:r>
    </w:p>
    <w:p w14:paraId="3C654BA7" w14:textId="77777777" w:rsidR="00C708F5" w:rsidRDefault="00C708F5" w:rsidP="0046622D">
      <w:pPr>
        <w:ind w:left="1134" w:hanging="1134"/>
        <w:rPr>
          <w:b/>
        </w:rPr>
      </w:pPr>
      <w:r w:rsidRPr="00670F07">
        <w:rPr>
          <w:b/>
        </w:rPr>
        <w:t xml:space="preserve">Bilješke uz </w:t>
      </w:r>
      <w:r w:rsidR="00670F07" w:rsidRPr="00670F07">
        <w:rPr>
          <w:b/>
        </w:rPr>
        <w:t>Izvještaj o prihodima i rashodima, primicima i izdacima</w:t>
      </w:r>
    </w:p>
    <w:p w14:paraId="43562378" w14:textId="77777777" w:rsidR="00FF3A39" w:rsidRDefault="00FF3A39" w:rsidP="0046622D">
      <w:pPr>
        <w:ind w:left="1134" w:hanging="1134"/>
        <w:rPr>
          <w:b/>
        </w:rPr>
      </w:pPr>
    </w:p>
    <w:p w14:paraId="1C22531A" w14:textId="1578276E" w:rsidR="00FF3A39" w:rsidRPr="00FF3A39" w:rsidRDefault="00FF3A39" w:rsidP="0046622D">
      <w:pPr>
        <w:ind w:left="1134" w:hanging="1134"/>
        <w:rPr>
          <w:bCs/>
        </w:rPr>
      </w:pPr>
      <w:r>
        <w:rPr>
          <w:b/>
        </w:rPr>
        <w:t>6341</w:t>
      </w:r>
      <w:r>
        <w:rPr>
          <w:b/>
        </w:rPr>
        <w:tab/>
      </w:r>
      <w:r>
        <w:rPr>
          <w:bCs/>
        </w:rPr>
        <w:t>Tekuće pomoći od izvanproračunskih korisnika odnosi se na primljena sredstva za takmičenje učenika od Saveza sportova.</w:t>
      </w:r>
    </w:p>
    <w:p w14:paraId="15141DDD" w14:textId="77777777" w:rsidR="00670F07" w:rsidRDefault="00670F07" w:rsidP="0046622D">
      <w:pPr>
        <w:ind w:left="1134" w:hanging="1134"/>
        <w:rPr>
          <w:b/>
        </w:rPr>
      </w:pPr>
    </w:p>
    <w:p w14:paraId="3FCA52BE" w14:textId="77777777" w:rsidR="00670F07" w:rsidRDefault="00670F07" w:rsidP="0046622D">
      <w:pPr>
        <w:ind w:left="1134" w:hanging="1134"/>
        <w:rPr>
          <w:b/>
        </w:rPr>
      </w:pPr>
    </w:p>
    <w:p w14:paraId="23220920" w14:textId="5E51AB16" w:rsidR="00090F76" w:rsidRDefault="00791329" w:rsidP="0046622D">
      <w:pPr>
        <w:ind w:left="1134" w:hanging="1134"/>
      </w:pPr>
      <w:r w:rsidRPr="00791329">
        <w:rPr>
          <w:b/>
          <w:bCs/>
        </w:rPr>
        <w:t>6361</w:t>
      </w:r>
      <w:r w:rsidR="00D259E0">
        <w:tab/>
        <w:t xml:space="preserve">Tekuće pomoći </w:t>
      </w:r>
      <w:r>
        <w:t>proračunskim korisnicima iz proračuna koji im nije nadležan odnosi se na plaće i naknade zaposlenicima</w:t>
      </w:r>
      <w:r w:rsidR="00090F76">
        <w:t xml:space="preserve"> povećana su zbog povećanja mase za isplatu plaća</w:t>
      </w:r>
      <w:r w:rsidR="00FF3A39">
        <w:t xml:space="preserve"> (povećanje osnovice za obračun plaća)</w:t>
      </w:r>
      <w:r w:rsidR="00090F76">
        <w:t xml:space="preserve"> i zbog </w:t>
      </w:r>
      <w:r w:rsidR="00FF3A39">
        <w:t>većeg broja isplaćenih materijalnih prava (pomoći za dulje bolovanje, potpore za novorođenu djecu, otpremnine za mirovinu, potpore za smrt članova obitelji zap</w:t>
      </w:r>
      <w:r w:rsidR="00C05F8E">
        <w:t>o</w:t>
      </w:r>
      <w:r w:rsidR="00FF3A39">
        <w:t>slenika)</w:t>
      </w:r>
      <w:r w:rsidR="00090F76">
        <w:t>.</w:t>
      </w:r>
    </w:p>
    <w:p w14:paraId="768CEC26" w14:textId="77777777" w:rsidR="00090F76" w:rsidRDefault="00090F76" w:rsidP="0046622D">
      <w:pPr>
        <w:ind w:left="1134" w:hanging="1134"/>
      </w:pPr>
    </w:p>
    <w:p w14:paraId="3DDCD3B7" w14:textId="602134E9" w:rsidR="00DC33E1" w:rsidRDefault="00090F76" w:rsidP="0046622D">
      <w:pPr>
        <w:ind w:left="1134" w:hanging="1134"/>
      </w:pPr>
      <w:r w:rsidRPr="00090F76">
        <w:rPr>
          <w:b/>
          <w:bCs/>
        </w:rPr>
        <w:t>6362</w:t>
      </w:r>
      <w:r>
        <w:tab/>
        <w:t>Kapitalne pomoći proračunskim korisnicima iz proračuna koji im nije nadležan odnosi se n</w:t>
      </w:r>
      <w:r w:rsidR="00791329">
        <w:t>a primljena sredstva za nabavu knjiga za školsku knjižnicu</w:t>
      </w:r>
      <w:r w:rsidR="00DC33E1">
        <w:t>.</w:t>
      </w:r>
    </w:p>
    <w:p w14:paraId="5BB2D86A" w14:textId="77777777" w:rsidR="00DC33E1" w:rsidRDefault="00DC33E1" w:rsidP="0046622D">
      <w:pPr>
        <w:ind w:left="1134" w:hanging="1134"/>
      </w:pPr>
    </w:p>
    <w:p w14:paraId="69F704C2" w14:textId="207706F2" w:rsidR="00F14628" w:rsidRDefault="00090F76" w:rsidP="0046622D">
      <w:pPr>
        <w:ind w:left="1134" w:hanging="1134"/>
      </w:pPr>
      <w:r>
        <w:rPr>
          <w:b/>
        </w:rPr>
        <w:t>6381</w:t>
      </w:r>
      <w:r w:rsidR="00F14628">
        <w:tab/>
      </w:r>
      <w:r>
        <w:t>Tekuće pomoći temeljem prijenosa EU sredstava u tekućoj godini nisu evidentirana na ovom kontu zbog promjene u načinu evidentiranja</w:t>
      </w:r>
      <w:r w:rsidR="00A61BDF">
        <w:t>.</w:t>
      </w:r>
    </w:p>
    <w:p w14:paraId="11522804" w14:textId="17D5DA7A" w:rsidR="00090F76" w:rsidRDefault="00090F76" w:rsidP="0046622D">
      <w:pPr>
        <w:ind w:left="1134" w:hanging="1134"/>
      </w:pPr>
    </w:p>
    <w:p w14:paraId="022B3691" w14:textId="5AB3BD32" w:rsidR="00090F76" w:rsidRPr="00090F76" w:rsidRDefault="00090F76" w:rsidP="0046622D">
      <w:pPr>
        <w:ind w:left="1134" w:hanging="1134"/>
      </w:pPr>
      <w:r w:rsidRPr="00090F76">
        <w:rPr>
          <w:b/>
          <w:bCs/>
        </w:rPr>
        <w:t>6526</w:t>
      </w:r>
      <w:r>
        <w:rPr>
          <w:b/>
          <w:bCs/>
        </w:rPr>
        <w:tab/>
      </w:r>
      <w:r w:rsidR="007C5838">
        <w:t>Ostali nespomenuti prihodi ostvareni su od prihod</w:t>
      </w:r>
      <w:r w:rsidR="00FF3A39">
        <w:t>a</w:t>
      </w:r>
      <w:r w:rsidR="007C5838">
        <w:t xml:space="preserve"> ostvaren</w:t>
      </w:r>
      <w:r w:rsidR="00FF3A39">
        <w:t>ih</w:t>
      </w:r>
      <w:r w:rsidR="007C5838">
        <w:t xml:space="preserve"> od učeničke zadruge</w:t>
      </w:r>
      <w:r w:rsidR="00FF3A39">
        <w:t xml:space="preserve"> i od prihoda za povećane troškove obrazovanja</w:t>
      </w:r>
      <w:r w:rsidR="00274C85">
        <w:t>.</w:t>
      </w:r>
      <w:r w:rsidR="00D509EE">
        <w:t xml:space="preserve"> Prihodi su manji u odnosu na prethodnu godinu jer su ove godine uplate učenika za izlete knjižene na konto 129</w:t>
      </w:r>
      <w:r w:rsidR="009A4F51">
        <w:t>.</w:t>
      </w:r>
    </w:p>
    <w:p w14:paraId="447E85C8" w14:textId="77777777" w:rsidR="00A61BDF" w:rsidRDefault="00A61BDF" w:rsidP="0046622D">
      <w:pPr>
        <w:ind w:left="1134" w:hanging="1134"/>
      </w:pPr>
    </w:p>
    <w:p w14:paraId="44DF146F" w14:textId="0C4886F1" w:rsidR="005715F5" w:rsidRDefault="00521DC5" w:rsidP="0046622D">
      <w:pPr>
        <w:ind w:left="1134" w:hanging="1134"/>
      </w:pPr>
      <w:r>
        <w:rPr>
          <w:b/>
        </w:rPr>
        <w:t>661</w:t>
      </w:r>
      <w:r w:rsidR="00A61BDF">
        <w:tab/>
      </w:r>
      <w:r w:rsidR="000A7E60">
        <w:t>Ostvareni prihodi od iznajmljivanj</w:t>
      </w:r>
      <w:r w:rsidR="00274C85">
        <w:t xml:space="preserve">a prostora Škole od aparata za tople napitke i od najma prostora u vrijeme vikenda. </w:t>
      </w:r>
    </w:p>
    <w:p w14:paraId="3D1FCACE" w14:textId="77777777" w:rsidR="000A7E60" w:rsidRDefault="005715F5" w:rsidP="0046622D">
      <w:pPr>
        <w:ind w:left="1134" w:hanging="1134"/>
      </w:pPr>
      <w:r>
        <w:t xml:space="preserve">  </w:t>
      </w:r>
    </w:p>
    <w:p w14:paraId="07B40A92" w14:textId="37F75605" w:rsidR="00BF4E81" w:rsidRDefault="00521DC5" w:rsidP="0046622D">
      <w:pPr>
        <w:ind w:left="1134" w:hanging="1134"/>
      </w:pPr>
      <w:r>
        <w:rPr>
          <w:b/>
        </w:rPr>
        <w:t>6711</w:t>
      </w:r>
      <w:r w:rsidR="00BF4E81">
        <w:tab/>
        <w:t xml:space="preserve">Prihodi iz nadležnog proračuna </w:t>
      </w:r>
      <w:r w:rsidR="00425D89">
        <w:t>povećani su</w:t>
      </w:r>
      <w:r w:rsidR="00BF4E81">
        <w:t xml:space="preserve"> zbog </w:t>
      </w:r>
      <w:r w:rsidR="00425D89">
        <w:t>povećanih</w:t>
      </w:r>
      <w:r w:rsidR="005715F5">
        <w:t xml:space="preserve"> stvarnih troškova</w:t>
      </w:r>
      <w:r w:rsidR="00425D89">
        <w:t>, kao i zbog povećanih troškova tekućeg održavanja</w:t>
      </w:r>
      <w:r>
        <w:t>, a na ovoj skupini konta knjiženi su prihodi za plaće i materijalna prava pomoćnika u nastavi</w:t>
      </w:r>
      <w:r w:rsidR="005715F5">
        <w:t>.</w:t>
      </w:r>
    </w:p>
    <w:p w14:paraId="21062C54" w14:textId="77777777" w:rsidR="00425D89" w:rsidRDefault="00425D89" w:rsidP="0046622D">
      <w:pPr>
        <w:ind w:left="1134" w:hanging="1134"/>
      </w:pPr>
    </w:p>
    <w:p w14:paraId="04DF4938" w14:textId="4917B633" w:rsidR="00425D89" w:rsidRDefault="00521DC5" w:rsidP="0046622D">
      <w:pPr>
        <w:ind w:left="1134" w:hanging="1134"/>
      </w:pPr>
      <w:r>
        <w:rPr>
          <w:b/>
        </w:rPr>
        <w:t>6712</w:t>
      </w:r>
      <w:r w:rsidR="00425D89">
        <w:tab/>
        <w:t xml:space="preserve">Ostvaren je prihod za opremanje školske knjižnice </w:t>
      </w:r>
      <w:r>
        <w:t xml:space="preserve">lektirom i </w:t>
      </w:r>
      <w:r w:rsidR="00425D89">
        <w:t>novim naslovima.</w:t>
      </w:r>
    </w:p>
    <w:p w14:paraId="05088D63" w14:textId="77777777" w:rsidR="00425D89" w:rsidRDefault="00425D89" w:rsidP="0046622D">
      <w:pPr>
        <w:ind w:left="1134" w:hanging="1134"/>
      </w:pPr>
    </w:p>
    <w:p w14:paraId="3424D09A" w14:textId="101CA9E2" w:rsidR="00425D89" w:rsidRDefault="00521DC5" w:rsidP="0046622D">
      <w:pPr>
        <w:ind w:left="1134" w:hanging="1134"/>
      </w:pPr>
      <w:r>
        <w:rPr>
          <w:b/>
        </w:rPr>
        <w:t>3111</w:t>
      </w:r>
      <w:r w:rsidR="00425D89">
        <w:tab/>
        <w:t xml:space="preserve">Troškovi plaća porasli su zbog </w:t>
      </w:r>
      <w:r w:rsidR="00C43A90">
        <w:t>uvećane osnovice za isplatu plaća, povećanog minulog rada.</w:t>
      </w:r>
    </w:p>
    <w:p w14:paraId="03638249" w14:textId="77777777" w:rsidR="000A7E60" w:rsidRDefault="000A7E60" w:rsidP="0046622D">
      <w:pPr>
        <w:ind w:left="1134" w:hanging="1134"/>
      </w:pPr>
    </w:p>
    <w:p w14:paraId="1B89D1EF" w14:textId="3F471569" w:rsidR="00BF4E81" w:rsidRDefault="00521DC5" w:rsidP="0046622D">
      <w:pPr>
        <w:ind w:left="1134" w:hanging="1134"/>
      </w:pPr>
      <w:r>
        <w:rPr>
          <w:b/>
        </w:rPr>
        <w:t>312</w:t>
      </w:r>
      <w:r w:rsidR="000A7E60">
        <w:tab/>
        <w:t>Ostali rashod</w:t>
      </w:r>
      <w:r w:rsidR="00A5162A">
        <w:t>i</w:t>
      </w:r>
      <w:r w:rsidR="000A7E60">
        <w:t xml:space="preserve"> za zaposlene</w:t>
      </w:r>
      <w:r w:rsidR="00BF4E81">
        <w:t xml:space="preserve"> su </w:t>
      </w:r>
      <w:r w:rsidR="005715F5">
        <w:t>već</w:t>
      </w:r>
      <w:r w:rsidR="000A7E60">
        <w:t xml:space="preserve">i </w:t>
      </w:r>
      <w:r w:rsidR="00BF4E81">
        <w:t xml:space="preserve">zbog </w:t>
      </w:r>
      <w:r w:rsidR="005715F5">
        <w:t>većeg</w:t>
      </w:r>
      <w:r w:rsidR="00BF4E81">
        <w:t xml:space="preserve"> broja radnika koji su ostvarili pravo na jubilarne nagrade,</w:t>
      </w:r>
      <w:r>
        <w:t xml:space="preserve"> regres</w:t>
      </w:r>
      <w:r w:rsidR="005715F5">
        <w:t>, božićnicu</w:t>
      </w:r>
      <w:r w:rsidR="009A4F51">
        <w:t>,</w:t>
      </w:r>
      <w:r>
        <w:t xml:space="preserve"> pomoći za dulje bolovanje</w:t>
      </w:r>
      <w:r w:rsidR="009A4F51">
        <w:t xml:space="preserve"> i pomoći za smrtni slučaj u obitelji</w:t>
      </w:r>
      <w:r w:rsidR="00A44BD3">
        <w:t>.</w:t>
      </w:r>
    </w:p>
    <w:p w14:paraId="11478622" w14:textId="77777777" w:rsidR="00C43A90" w:rsidRDefault="00C43A90" w:rsidP="0046622D">
      <w:pPr>
        <w:ind w:left="1134" w:hanging="1134"/>
      </w:pPr>
    </w:p>
    <w:p w14:paraId="7FF184B0" w14:textId="09F48E53" w:rsidR="00C43A90" w:rsidRDefault="00521DC5" w:rsidP="0046622D">
      <w:pPr>
        <w:ind w:left="1134" w:hanging="1134"/>
      </w:pPr>
      <w:r>
        <w:rPr>
          <w:b/>
        </w:rPr>
        <w:t>313</w:t>
      </w:r>
      <w:r w:rsidR="00C43A90">
        <w:tab/>
        <w:t>Doprinosi na plaće uvećani su zbog povećanja mase isplaćenih plaća.</w:t>
      </w:r>
    </w:p>
    <w:p w14:paraId="350A8A17" w14:textId="77777777" w:rsidR="00A44BD3" w:rsidRDefault="00A44BD3" w:rsidP="0046622D">
      <w:pPr>
        <w:ind w:left="1134" w:hanging="1134"/>
      </w:pPr>
    </w:p>
    <w:p w14:paraId="7060570A" w14:textId="2EFE2AA7" w:rsidR="00A44BD3" w:rsidRDefault="00521DC5" w:rsidP="0046622D">
      <w:pPr>
        <w:ind w:left="1134" w:hanging="1134"/>
      </w:pPr>
      <w:r w:rsidRPr="00521DC5">
        <w:rPr>
          <w:b/>
          <w:bCs/>
        </w:rPr>
        <w:t>321</w:t>
      </w:r>
      <w:r w:rsidR="00A44BD3">
        <w:tab/>
      </w:r>
      <w:r w:rsidR="00263CE9">
        <w:t xml:space="preserve">Povećane su </w:t>
      </w:r>
      <w:r w:rsidR="002C70BA">
        <w:t xml:space="preserve"> naknade troškova zaposlenima zbog </w:t>
      </w:r>
      <w:r w:rsidR="00263CE9">
        <w:t xml:space="preserve">povećanja </w:t>
      </w:r>
      <w:r w:rsidR="002C70BA">
        <w:t xml:space="preserve"> troškova </w:t>
      </w:r>
      <w:r w:rsidR="005715F5">
        <w:t>prijevoza na posao i s posla</w:t>
      </w:r>
      <w:r w:rsidR="007E59FB">
        <w:t xml:space="preserve">, povećani </w:t>
      </w:r>
      <w:r>
        <w:t>su</w:t>
      </w:r>
      <w:r w:rsidR="007E59FB">
        <w:t xml:space="preserve"> troškovi službenih putovanja</w:t>
      </w:r>
      <w:r w:rsidR="00DF39D9">
        <w:t>.</w:t>
      </w:r>
    </w:p>
    <w:p w14:paraId="3AF80DCC" w14:textId="6EBCE76D" w:rsidR="007E59FB" w:rsidRDefault="007E59FB" w:rsidP="0046622D">
      <w:pPr>
        <w:ind w:left="1134" w:hanging="1134"/>
      </w:pPr>
    </w:p>
    <w:p w14:paraId="59362BFE" w14:textId="132466B4" w:rsidR="007E59FB" w:rsidRDefault="00521DC5" w:rsidP="0046622D">
      <w:pPr>
        <w:ind w:left="1134" w:hanging="1134"/>
      </w:pPr>
      <w:r w:rsidRPr="00521DC5">
        <w:rPr>
          <w:b/>
          <w:bCs/>
        </w:rPr>
        <w:t>322</w:t>
      </w:r>
      <w:r w:rsidR="007E59FB">
        <w:t xml:space="preserve"> </w:t>
      </w:r>
      <w:r w:rsidR="007E59FB">
        <w:tab/>
        <w:t xml:space="preserve">Rashodi za materijal i energiju uvećani su zbog </w:t>
      </w:r>
      <w:r w:rsidR="009A4F51">
        <w:t>povećanih troškova tekućeg i investicijskog održavanja – krajem godine obavljeni su radovi na sanaciju krova na ulazu škole, povećani su troškovi nabave službene i radne odjeće (prof. TZK ima pravo svake godine na službenu odjeću, a spremačice i domar su to pravo ostvarili ove godine)</w:t>
      </w:r>
      <w:r w:rsidR="00334E86">
        <w:t>.</w:t>
      </w:r>
      <w:r w:rsidR="009A4F51">
        <w:t xml:space="preserve"> Troškovi nabave uredskog materijala i materijala za nastavu su veći zbog veće potrošnje i povećanja cijena. </w:t>
      </w:r>
    </w:p>
    <w:p w14:paraId="0E4283CC" w14:textId="77777777" w:rsidR="00DF39D9" w:rsidRDefault="00DF39D9" w:rsidP="0046622D">
      <w:pPr>
        <w:ind w:left="1134" w:hanging="1134"/>
      </w:pPr>
    </w:p>
    <w:p w14:paraId="28C6D864" w14:textId="398AC33C" w:rsidR="003B2605" w:rsidRDefault="00334E86" w:rsidP="004A5D6E">
      <w:pPr>
        <w:ind w:left="1134" w:hanging="1134"/>
      </w:pPr>
      <w:r>
        <w:rPr>
          <w:b/>
        </w:rPr>
        <w:t>323</w:t>
      </w:r>
      <w:r>
        <w:rPr>
          <w:b/>
        </w:rPr>
        <w:tab/>
      </w:r>
      <w:r w:rsidR="009A4F51" w:rsidRPr="009A4F51">
        <w:t>Smanjeni</w:t>
      </w:r>
      <w:r w:rsidR="002C70BA">
        <w:t xml:space="preserve"> su rashodi </w:t>
      </w:r>
      <w:r w:rsidR="005715F5">
        <w:t>iz ove grupe</w:t>
      </w:r>
      <w:r w:rsidR="00AA3228">
        <w:t>:</w:t>
      </w:r>
      <w:r w:rsidR="005715F5">
        <w:t xml:space="preserve"> </w:t>
      </w:r>
      <w:r w:rsidR="002C70BA">
        <w:t xml:space="preserve">za usluge </w:t>
      </w:r>
      <w:r w:rsidR="007E59FB">
        <w:t>prijevoza, pošte i telefona (znatno su povećani troškovi prijevoza učenika s teškoćama u razvoju – više učenik</w:t>
      </w:r>
      <w:r w:rsidR="003B2605">
        <w:t>a koji koriste uslugu prijevoza u odnosu na prethodnu godinu)</w:t>
      </w:r>
      <w:r>
        <w:t>.</w:t>
      </w:r>
      <w:r w:rsidR="00AA3228">
        <w:t>smanjeni</w:t>
      </w:r>
      <w:r>
        <w:t xml:space="preserve"> su </w:t>
      </w:r>
      <w:r w:rsidR="003B2605">
        <w:t xml:space="preserve">troškovi tekućeg i investicijskog održavanja </w:t>
      </w:r>
      <w:r w:rsidR="00AA3228">
        <w:t xml:space="preserve">jer su na ovom kontu lani evidentirani </w:t>
      </w:r>
      <w:r>
        <w:t>radov</w:t>
      </w:r>
      <w:r w:rsidR="00AA3228">
        <w:t>i</w:t>
      </w:r>
      <w:r>
        <w:t xml:space="preserve"> na ograđivanju prostora Škole</w:t>
      </w:r>
      <w:r w:rsidR="003B2605">
        <w:t xml:space="preserve">. </w:t>
      </w:r>
      <w:r>
        <w:t>Uslijed povećanja cijena energije povećani su troškovi komunalnih usluga, troškovi zakupnine prostora su</w:t>
      </w:r>
      <w:r w:rsidR="00AA3228">
        <w:t xml:space="preserve"> smanjeni. Povećani</w:t>
      </w:r>
      <w:r>
        <w:t xml:space="preserve"> su troškovi i</w:t>
      </w:r>
      <w:r w:rsidR="003B2605">
        <w:t>ntelektualn</w:t>
      </w:r>
      <w:r>
        <w:t>ih</w:t>
      </w:r>
      <w:r w:rsidR="003B2605">
        <w:t xml:space="preserve"> uslug</w:t>
      </w:r>
      <w:r>
        <w:t xml:space="preserve">a </w:t>
      </w:r>
      <w:r w:rsidR="00AA3228">
        <w:t>zbog isplate po ugovorima o djelu članovima tima za krizne intervencije (intervencija zbog tragičnog događaja u školi)</w:t>
      </w:r>
      <w:r w:rsidR="003B2605">
        <w:t>.</w:t>
      </w:r>
    </w:p>
    <w:p w14:paraId="6F683F67" w14:textId="77777777" w:rsidR="003B2605" w:rsidRDefault="003B2605" w:rsidP="004A5D6E">
      <w:pPr>
        <w:ind w:left="1134" w:hanging="1134"/>
      </w:pPr>
    </w:p>
    <w:p w14:paraId="0D5552C6" w14:textId="58DD75F2" w:rsidR="00DF39D9" w:rsidRDefault="00334E86" w:rsidP="004A5D6E">
      <w:pPr>
        <w:ind w:left="1134" w:hanging="1134"/>
      </w:pPr>
      <w:r>
        <w:rPr>
          <w:b/>
        </w:rPr>
        <w:t>329</w:t>
      </w:r>
      <w:r w:rsidR="003B2605">
        <w:tab/>
        <w:t xml:space="preserve">Ostali nespomenuti troškovi poslovanja </w:t>
      </w:r>
      <w:r>
        <w:t>smanjeni su jer su sporovi</w:t>
      </w:r>
      <w:r w:rsidR="003B2605">
        <w:t xml:space="preserve"> zbog izgubljenih tužbi za isplatu razlike plaća od 6% za period 12/2015 – 1/2017. </w:t>
      </w:r>
      <w:r>
        <w:t>u cijelosti isplaćeni t</w:t>
      </w:r>
      <w:r w:rsidR="00AA3228">
        <w:t>ije</w:t>
      </w:r>
      <w:r>
        <w:t xml:space="preserve">kom </w:t>
      </w:r>
      <w:r w:rsidR="00AA3228">
        <w:t xml:space="preserve">prethodne </w:t>
      </w:r>
      <w:r>
        <w:t xml:space="preserve">godine. </w:t>
      </w:r>
      <w:r w:rsidR="00AA3228">
        <w:t xml:space="preserve">Povećane su pristojbe i naknade zbog promjena u sudskom registru. </w:t>
      </w:r>
    </w:p>
    <w:p w14:paraId="7328BA72" w14:textId="77777777" w:rsidR="00A30D84" w:rsidRDefault="00A30D84" w:rsidP="0046622D">
      <w:pPr>
        <w:ind w:left="1134" w:hanging="1134"/>
      </w:pPr>
    </w:p>
    <w:p w14:paraId="7C859362" w14:textId="417E11FC" w:rsidR="004A5D6E" w:rsidRDefault="00AC30B0" w:rsidP="0046622D">
      <w:pPr>
        <w:ind w:left="1134" w:hanging="1134"/>
      </w:pPr>
      <w:r>
        <w:rPr>
          <w:b/>
        </w:rPr>
        <w:t>343</w:t>
      </w:r>
      <w:r w:rsidR="004A5D6E">
        <w:tab/>
      </w:r>
      <w:r>
        <w:t>Ostali financijski rashodi smanjeni su zbog smanjenih troškova zateznih kamata na tužbe</w:t>
      </w:r>
      <w:r w:rsidR="00A30D84">
        <w:t>.</w:t>
      </w:r>
    </w:p>
    <w:p w14:paraId="1E25FF66" w14:textId="7E5C9B39" w:rsidR="00A65151" w:rsidRDefault="00AC30B0" w:rsidP="00F558D8">
      <w:pPr>
        <w:spacing w:before="240"/>
        <w:ind w:left="1134" w:hanging="1134"/>
      </w:pPr>
      <w:bookmarkStart w:id="0" w:name="_GoBack"/>
      <w:bookmarkEnd w:id="0"/>
      <w:r>
        <w:rPr>
          <w:b/>
        </w:rPr>
        <w:t>X006</w:t>
      </w:r>
      <w:r w:rsidR="00A65151">
        <w:tab/>
        <w:t>Rezultat poslovanja</w:t>
      </w:r>
      <w:r w:rsidR="00A30D84">
        <w:t xml:space="preserve"> na dan 3</w:t>
      </w:r>
      <w:r w:rsidR="003915B5">
        <w:t>1.12</w:t>
      </w:r>
      <w:r w:rsidR="00A30D84">
        <w:t>.</w:t>
      </w:r>
      <w:r w:rsidR="003915B5">
        <w:t xml:space="preserve"> 202</w:t>
      </w:r>
      <w:r w:rsidR="00AA3228">
        <w:t>3</w:t>
      </w:r>
      <w:r w:rsidR="00A65151">
        <w:t xml:space="preserve">.g. </w:t>
      </w:r>
      <w:r w:rsidR="005F5586">
        <w:t xml:space="preserve">je </w:t>
      </w:r>
      <w:r>
        <w:t xml:space="preserve">višak </w:t>
      </w:r>
      <w:r w:rsidR="005F5586">
        <w:t xml:space="preserve"> prihoda </w:t>
      </w:r>
      <w:r w:rsidR="00A65151">
        <w:t>od</w:t>
      </w:r>
      <w:r w:rsidR="00F558D8">
        <w:t xml:space="preserve"> </w:t>
      </w:r>
      <w:r w:rsidR="003915B5">
        <w:t>=</w:t>
      </w:r>
      <w:r w:rsidR="00AA3228">
        <w:t>4.545,78 €</w:t>
      </w:r>
      <w:r>
        <w:t>, a sastoji se od =</w:t>
      </w:r>
      <w:r w:rsidR="00AA3228">
        <w:t>6.840,63 €</w:t>
      </w:r>
      <w:r>
        <w:t xml:space="preserve"> prenese</w:t>
      </w:r>
      <w:r w:rsidR="00AA3228">
        <w:t>nog viška iz prethodne godine i manjka prihoda poslovanja =1.380,93 € i manjka prihoda od nefinancijske imovine =913,92 €</w:t>
      </w:r>
      <w:r w:rsidR="003915B5">
        <w:t xml:space="preserve">. </w:t>
      </w:r>
    </w:p>
    <w:p w14:paraId="32C3A4B4" w14:textId="77777777" w:rsidR="00F558D8" w:rsidRDefault="00F558D8" w:rsidP="00F558D8"/>
    <w:p w14:paraId="2970D768" w14:textId="77777777" w:rsidR="003B06E5" w:rsidRPr="00CA3170" w:rsidRDefault="003B06E5" w:rsidP="00F558D8">
      <w:pPr>
        <w:ind w:left="1134" w:hanging="1134"/>
        <w:rPr>
          <w:b/>
        </w:rPr>
      </w:pPr>
      <w:r w:rsidRPr="00CA3170">
        <w:rPr>
          <w:b/>
        </w:rPr>
        <w:t>Bilješke uz Izvještaj o obvezama</w:t>
      </w:r>
    </w:p>
    <w:p w14:paraId="690488BF" w14:textId="77777777" w:rsidR="003B06E5" w:rsidRDefault="003B06E5" w:rsidP="00F558D8">
      <w:pPr>
        <w:ind w:left="1134" w:hanging="1134"/>
      </w:pPr>
    </w:p>
    <w:p w14:paraId="6DFEF62A" w14:textId="3D503427" w:rsidR="003B06E5" w:rsidRDefault="003B06E5" w:rsidP="00F558D8">
      <w:pPr>
        <w:ind w:left="1134" w:hanging="1134"/>
      </w:pPr>
      <w:r w:rsidRPr="00CA3170">
        <w:rPr>
          <w:b/>
        </w:rPr>
        <w:t>AOP 03</w:t>
      </w:r>
      <w:r w:rsidR="003D4D3F">
        <w:rPr>
          <w:b/>
        </w:rPr>
        <w:t>8</w:t>
      </w:r>
      <w:r>
        <w:tab/>
        <w:t>Stanje obveza na dan 3</w:t>
      </w:r>
      <w:r w:rsidR="003915B5">
        <w:t>1</w:t>
      </w:r>
      <w:r>
        <w:t>.</w:t>
      </w:r>
      <w:r w:rsidR="003915B5">
        <w:t>12.2</w:t>
      </w:r>
      <w:r w:rsidR="00586E48">
        <w:t>3</w:t>
      </w:r>
      <w:r w:rsidR="00D809A7">
        <w:t xml:space="preserve">. </w:t>
      </w:r>
      <w:r>
        <w:t>iznosi  =</w:t>
      </w:r>
      <w:r w:rsidR="00586E48">
        <w:t>105.026,67 €</w:t>
      </w:r>
      <w:r>
        <w:t xml:space="preserve"> i odnosi se na:</w:t>
      </w:r>
    </w:p>
    <w:p w14:paraId="6936ABA1" w14:textId="77777777" w:rsidR="00670A23" w:rsidRDefault="00670A23" w:rsidP="00F558D8">
      <w:pPr>
        <w:ind w:left="1134" w:hanging="1134"/>
      </w:pPr>
    </w:p>
    <w:p w14:paraId="716341C9" w14:textId="0295C9DC" w:rsidR="00670A23" w:rsidRDefault="00670A23" w:rsidP="00670A23">
      <w:pPr>
        <w:pStyle w:val="Odlomakpopisa"/>
        <w:numPr>
          <w:ilvl w:val="0"/>
          <w:numId w:val="5"/>
        </w:numPr>
      </w:pPr>
      <w:r>
        <w:t>obveze za zaposlene</w:t>
      </w:r>
      <w:r>
        <w:tab/>
      </w:r>
      <w:r>
        <w:tab/>
      </w:r>
      <w:r>
        <w:tab/>
      </w:r>
      <w:r w:rsidR="00586E48">
        <w:t xml:space="preserve">   </w:t>
      </w:r>
      <w:r>
        <w:t>=</w:t>
      </w:r>
      <w:r w:rsidR="00586E48">
        <w:t>85.792,47</w:t>
      </w:r>
      <w:r>
        <w:tab/>
      </w:r>
      <w:r w:rsidR="00586E48">
        <w:t>€</w:t>
      </w:r>
    </w:p>
    <w:p w14:paraId="07DFB75B" w14:textId="088093C2" w:rsidR="00670A23" w:rsidRDefault="00670A23" w:rsidP="00670A23">
      <w:pPr>
        <w:pStyle w:val="Odlomakpopisa"/>
        <w:numPr>
          <w:ilvl w:val="0"/>
          <w:numId w:val="5"/>
        </w:numPr>
      </w:pPr>
      <w:r>
        <w:t>obveze za materijalne rashode</w:t>
      </w:r>
      <w:r>
        <w:tab/>
      </w:r>
      <w:r w:rsidR="00586E48">
        <w:t xml:space="preserve">   </w:t>
      </w:r>
      <w:r>
        <w:t>=</w:t>
      </w:r>
      <w:r w:rsidR="00586E48">
        <w:t>11.193,85  €</w:t>
      </w:r>
    </w:p>
    <w:p w14:paraId="2C89D0F0" w14:textId="47B12130" w:rsidR="00670A23" w:rsidRDefault="00670A23" w:rsidP="00670A23">
      <w:pPr>
        <w:pStyle w:val="Odlomakpopisa"/>
        <w:numPr>
          <w:ilvl w:val="0"/>
          <w:numId w:val="5"/>
        </w:numPr>
      </w:pPr>
      <w:r>
        <w:t>obveze za fin</w:t>
      </w:r>
      <w:r w:rsidR="003D4D3F">
        <w:t>ancijske rashode</w:t>
      </w:r>
      <w:r w:rsidR="003D4D3F">
        <w:tab/>
        <w:t xml:space="preserve">    </w:t>
      </w:r>
      <w:r w:rsidR="00D809A7">
        <w:t xml:space="preserve">  </w:t>
      </w:r>
      <w:r w:rsidR="00586E48">
        <w:t xml:space="preserve"> </w:t>
      </w:r>
      <w:r w:rsidR="00D809A7">
        <w:t xml:space="preserve"> </w:t>
      </w:r>
      <w:r w:rsidR="003D4D3F">
        <w:t>=</w:t>
      </w:r>
      <w:r w:rsidR="00586E48">
        <w:t>111,69</w:t>
      </w:r>
      <w:r>
        <w:tab/>
      </w:r>
      <w:r w:rsidR="00586E48">
        <w:t>€</w:t>
      </w:r>
    </w:p>
    <w:p w14:paraId="3E21477A" w14:textId="1F108C89" w:rsidR="00670A23" w:rsidRDefault="003915B5" w:rsidP="00670A23">
      <w:pPr>
        <w:pStyle w:val="Odlomakpopisa"/>
        <w:numPr>
          <w:ilvl w:val="0"/>
          <w:numId w:val="5"/>
        </w:numPr>
      </w:pPr>
      <w:r>
        <w:t>ostale tekuće obveze</w:t>
      </w:r>
      <w:r>
        <w:tab/>
      </w:r>
      <w:r>
        <w:tab/>
      </w:r>
      <w:r>
        <w:tab/>
        <w:t xml:space="preserve"> </w:t>
      </w:r>
      <w:r w:rsidR="00586E48">
        <w:t xml:space="preserve">   </w:t>
      </w:r>
      <w:r>
        <w:t xml:space="preserve"> =</w:t>
      </w:r>
      <w:r w:rsidR="00586E48">
        <w:t>7.928,66  €</w:t>
      </w:r>
    </w:p>
    <w:p w14:paraId="6A0E681E" w14:textId="69F52746" w:rsidR="00D809A7" w:rsidRDefault="00D809A7" w:rsidP="00981681"/>
    <w:p w14:paraId="3FBF7596" w14:textId="3FBA9563" w:rsidR="003B06E5" w:rsidRDefault="00670A23" w:rsidP="00981681">
      <w:r>
        <w:t xml:space="preserve">od čega su  </w:t>
      </w:r>
      <w:r w:rsidR="003D4D3F">
        <w:t>sve</w:t>
      </w:r>
      <w:r>
        <w:t xml:space="preserve"> </w:t>
      </w:r>
      <w:r w:rsidR="00D208F1">
        <w:t>obveze</w:t>
      </w:r>
      <w:r>
        <w:t xml:space="preserve"> </w:t>
      </w:r>
      <w:r w:rsidR="00D208F1">
        <w:t>nedospjele</w:t>
      </w:r>
      <w:r w:rsidR="0044276C">
        <w:t>.</w:t>
      </w:r>
      <w:r w:rsidR="00981681">
        <w:t xml:space="preserve"> </w:t>
      </w:r>
    </w:p>
    <w:p w14:paraId="2F0ECD64" w14:textId="77777777" w:rsidR="008F1FC7" w:rsidRDefault="008F1FC7" w:rsidP="00981681"/>
    <w:p w14:paraId="65EA3D42" w14:textId="77777777" w:rsidR="008F1FC7" w:rsidRDefault="008F1FC7" w:rsidP="00981681"/>
    <w:p w14:paraId="663CF533" w14:textId="77777777" w:rsidR="008F1FC7" w:rsidRPr="008F1FC7" w:rsidRDefault="008F1FC7" w:rsidP="00981681">
      <w:pPr>
        <w:rPr>
          <w:b/>
        </w:rPr>
      </w:pPr>
      <w:r w:rsidRPr="008F1FC7">
        <w:rPr>
          <w:b/>
        </w:rPr>
        <w:t>Bilješke uz Izvještaj o promjenama u vrijednosti i obujmu imovine i obveza</w:t>
      </w:r>
    </w:p>
    <w:p w14:paraId="4B9798C4" w14:textId="77777777" w:rsidR="008F1FC7" w:rsidRPr="008F1FC7" w:rsidRDefault="008F1FC7" w:rsidP="00981681">
      <w:pPr>
        <w:rPr>
          <w:b/>
        </w:rPr>
      </w:pPr>
    </w:p>
    <w:p w14:paraId="11CC7EFB" w14:textId="407E25AD" w:rsidR="008F1FC7" w:rsidRDefault="008F1FC7" w:rsidP="00981681">
      <w:r>
        <w:t>Tokom 202</w:t>
      </w:r>
      <w:r w:rsidR="00586E48">
        <w:t>3</w:t>
      </w:r>
      <w:r w:rsidR="0044276C">
        <w:t>. g</w:t>
      </w:r>
      <w:r>
        <w:t>o</w:t>
      </w:r>
      <w:r w:rsidR="0044276C">
        <w:t>d</w:t>
      </w:r>
      <w:r>
        <w:t>in</w:t>
      </w:r>
      <w:r w:rsidR="0044276C">
        <w:t>i</w:t>
      </w:r>
      <w:r>
        <w:t xml:space="preserve"> </w:t>
      </w:r>
      <w:r w:rsidR="00586E48">
        <w:t>povećana je vrijednost obujma imovine za opremu dobivenu od MZO</w:t>
      </w:r>
      <w:r w:rsidR="00E97847">
        <w:t xml:space="preserve"> za provođenje Cjelovite </w:t>
      </w:r>
      <w:proofErr w:type="spellStart"/>
      <w:r w:rsidR="00E97847">
        <w:t>kurikularne</w:t>
      </w:r>
      <w:proofErr w:type="spellEnd"/>
      <w:r w:rsidR="00E97847">
        <w:t xml:space="preserve"> reforme</w:t>
      </w:r>
      <w:r>
        <w:t>.</w:t>
      </w:r>
    </w:p>
    <w:p w14:paraId="6D302C9C" w14:textId="77777777" w:rsidR="008F1FC7" w:rsidRDefault="008F1FC7" w:rsidP="00981681"/>
    <w:p w14:paraId="6C2C5D2C" w14:textId="77777777" w:rsidR="008F1FC7" w:rsidRPr="008F1FC7" w:rsidRDefault="008F1FC7" w:rsidP="00981681">
      <w:pPr>
        <w:rPr>
          <w:b/>
        </w:rPr>
      </w:pPr>
      <w:r w:rsidRPr="008F1FC7">
        <w:rPr>
          <w:b/>
        </w:rPr>
        <w:t>Bilješke uz obrazac RAS funkcijski</w:t>
      </w:r>
    </w:p>
    <w:p w14:paraId="7CFF4E9A" w14:textId="77777777" w:rsidR="008F1FC7" w:rsidRPr="008F1FC7" w:rsidRDefault="008F1FC7" w:rsidP="00981681">
      <w:pPr>
        <w:rPr>
          <w:b/>
        </w:rPr>
      </w:pPr>
    </w:p>
    <w:p w14:paraId="69776041" w14:textId="0C023DDD" w:rsidR="008F1FC7" w:rsidRDefault="008F1FC7" w:rsidP="0044276C">
      <w:pPr>
        <w:ind w:left="1134" w:hanging="1134"/>
      </w:pPr>
      <w:r w:rsidRPr="008F1FC7">
        <w:rPr>
          <w:b/>
        </w:rPr>
        <w:t>AOP 110</w:t>
      </w:r>
      <w:r>
        <w:tab/>
        <w:t>U 202</w:t>
      </w:r>
      <w:r w:rsidR="00E97847">
        <w:t>3</w:t>
      </w:r>
      <w:r>
        <w:t xml:space="preserve">. godini povećani su ukupni </w:t>
      </w:r>
      <w:r w:rsidR="0044276C">
        <w:t>ras</w:t>
      </w:r>
      <w:r>
        <w:t xml:space="preserve">hodi za </w:t>
      </w:r>
      <w:r w:rsidR="0044276C">
        <w:t>1</w:t>
      </w:r>
      <w:r w:rsidR="00E97847">
        <w:t>1</w:t>
      </w:r>
      <w:r>
        <w:t>,</w:t>
      </w:r>
      <w:r w:rsidR="00E97847">
        <w:t>4</w:t>
      </w:r>
      <w:r>
        <w:t>% u odnosu na 20</w:t>
      </w:r>
      <w:r w:rsidR="0044276C">
        <w:t>2</w:t>
      </w:r>
      <w:r w:rsidR="00E97847">
        <w:t>2</w:t>
      </w:r>
      <w:r>
        <w:t>. g</w:t>
      </w:r>
      <w:r w:rsidR="0044276C">
        <w:t>o</w:t>
      </w:r>
      <w:r>
        <w:t>dinu</w:t>
      </w:r>
      <w:r w:rsidR="00E97847">
        <w:t xml:space="preserve"> uslijed povećanja cijena roba i usluga kao i zbog povećanja troškova plaća</w:t>
      </w:r>
      <w:r>
        <w:t>.</w:t>
      </w:r>
    </w:p>
    <w:p w14:paraId="3016F710" w14:textId="77777777" w:rsidR="00F72787" w:rsidRDefault="00F72787" w:rsidP="0044276C">
      <w:pPr>
        <w:ind w:left="1134" w:hanging="1134"/>
      </w:pPr>
    </w:p>
    <w:p w14:paraId="7682C005" w14:textId="2B3CE5B0" w:rsidR="00F72787" w:rsidRDefault="00F72787" w:rsidP="0044276C">
      <w:pPr>
        <w:ind w:left="1134" w:hanging="1134"/>
      </w:pPr>
      <w:r>
        <w:t>(1)</w:t>
      </w:r>
    </w:p>
    <w:p w14:paraId="5A4468FA" w14:textId="0D7C2912" w:rsidR="00AD256F" w:rsidRDefault="00AD256F" w:rsidP="0044276C">
      <w:pPr>
        <w:ind w:left="1134" w:hanging="1134"/>
      </w:pPr>
    </w:p>
    <w:p w14:paraId="6F4060BE" w14:textId="4B5A14C6" w:rsidR="00AD256F" w:rsidRDefault="00AD256F" w:rsidP="0044276C">
      <w:pPr>
        <w:ind w:left="1134" w:hanging="1134"/>
      </w:pPr>
      <w:r>
        <w:t>Tablica 1. – Popis ugovornih obveza na dan 31.12.2023.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0"/>
        <w:gridCol w:w="936"/>
        <w:gridCol w:w="1087"/>
        <w:gridCol w:w="1066"/>
        <w:gridCol w:w="884"/>
        <w:gridCol w:w="916"/>
        <w:gridCol w:w="1027"/>
        <w:gridCol w:w="851"/>
        <w:gridCol w:w="1047"/>
      </w:tblGrid>
      <w:tr w:rsidR="00AF03D0" w:rsidRPr="00AF03D0" w14:paraId="27BAF59E" w14:textId="77777777" w:rsidTr="00AF03D0">
        <w:tc>
          <w:tcPr>
            <w:tcW w:w="720" w:type="dxa"/>
          </w:tcPr>
          <w:p w14:paraId="2C3D0964" w14:textId="1E919A3C" w:rsidR="00AF03D0" w:rsidRPr="00AF03D0" w:rsidRDefault="00AF03D0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 xml:space="preserve">Red. Br. </w:t>
            </w:r>
          </w:p>
        </w:tc>
        <w:tc>
          <w:tcPr>
            <w:tcW w:w="936" w:type="dxa"/>
          </w:tcPr>
          <w:p w14:paraId="3C9E0417" w14:textId="73AA8358" w:rsidR="00AF03D0" w:rsidRPr="00AF03D0" w:rsidRDefault="00AF03D0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Datum primanja jamstva</w:t>
            </w:r>
          </w:p>
        </w:tc>
        <w:tc>
          <w:tcPr>
            <w:tcW w:w="1087" w:type="dxa"/>
          </w:tcPr>
          <w:p w14:paraId="150FBA21" w14:textId="4F301E9A" w:rsidR="00AF03D0" w:rsidRPr="00AF03D0" w:rsidRDefault="00AF03D0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Instrument osiguranja</w:t>
            </w:r>
          </w:p>
        </w:tc>
        <w:tc>
          <w:tcPr>
            <w:tcW w:w="1066" w:type="dxa"/>
          </w:tcPr>
          <w:p w14:paraId="17643A50" w14:textId="57FFE900" w:rsidR="00AF03D0" w:rsidRPr="00AF03D0" w:rsidRDefault="00AF03D0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Iznos primljenog jamstva</w:t>
            </w:r>
          </w:p>
        </w:tc>
        <w:tc>
          <w:tcPr>
            <w:tcW w:w="884" w:type="dxa"/>
          </w:tcPr>
          <w:p w14:paraId="7B1DDCFC" w14:textId="1C781951" w:rsidR="00AF03D0" w:rsidRPr="00AF03D0" w:rsidRDefault="00AF03D0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Davatelj jamstva</w:t>
            </w:r>
          </w:p>
        </w:tc>
        <w:tc>
          <w:tcPr>
            <w:tcW w:w="916" w:type="dxa"/>
          </w:tcPr>
          <w:p w14:paraId="43B3AC27" w14:textId="6EC89ABF" w:rsidR="00AF03D0" w:rsidRPr="00AF03D0" w:rsidRDefault="00AF03D0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Namjena</w:t>
            </w:r>
          </w:p>
        </w:tc>
        <w:tc>
          <w:tcPr>
            <w:tcW w:w="1027" w:type="dxa"/>
          </w:tcPr>
          <w:p w14:paraId="5EE030B4" w14:textId="3DDED57C" w:rsidR="00AF03D0" w:rsidRPr="00AF03D0" w:rsidRDefault="00AF03D0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Dokument</w:t>
            </w:r>
          </w:p>
        </w:tc>
        <w:tc>
          <w:tcPr>
            <w:tcW w:w="851" w:type="dxa"/>
          </w:tcPr>
          <w:p w14:paraId="59B94FBE" w14:textId="21DB30E2" w:rsidR="00AF03D0" w:rsidRPr="00AF03D0" w:rsidRDefault="00AF03D0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Rok važenja</w:t>
            </w:r>
          </w:p>
        </w:tc>
        <w:tc>
          <w:tcPr>
            <w:tcW w:w="1047" w:type="dxa"/>
          </w:tcPr>
          <w:p w14:paraId="35350A82" w14:textId="2DE22578" w:rsidR="00AF03D0" w:rsidRPr="00AF03D0" w:rsidRDefault="00AF03D0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Napomena</w:t>
            </w:r>
          </w:p>
        </w:tc>
      </w:tr>
      <w:tr w:rsidR="00AF03D0" w14:paraId="3084B37B" w14:textId="77777777" w:rsidTr="00AF03D0">
        <w:tc>
          <w:tcPr>
            <w:tcW w:w="720" w:type="dxa"/>
          </w:tcPr>
          <w:p w14:paraId="4A6D6D7D" w14:textId="77777777" w:rsidR="00AF03D0" w:rsidRDefault="00AF03D0">
            <w:pPr>
              <w:rPr>
                <w:b/>
              </w:rPr>
            </w:pPr>
          </w:p>
        </w:tc>
        <w:tc>
          <w:tcPr>
            <w:tcW w:w="936" w:type="dxa"/>
          </w:tcPr>
          <w:p w14:paraId="630E2C00" w14:textId="77777777" w:rsidR="00AF03D0" w:rsidRDefault="00AF03D0">
            <w:pPr>
              <w:rPr>
                <w:b/>
              </w:rPr>
            </w:pPr>
          </w:p>
        </w:tc>
        <w:tc>
          <w:tcPr>
            <w:tcW w:w="1087" w:type="dxa"/>
          </w:tcPr>
          <w:p w14:paraId="31BAE2CE" w14:textId="77777777" w:rsidR="00AF03D0" w:rsidRDefault="00AF03D0">
            <w:pPr>
              <w:rPr>
                <w:b/>
              </w:rPr>
            </w:pPr>
          </w:p>
        </w:tc>
        <w:tc>
          <w:tcPr>
            <w:tcW w:w="1066" w:type="dxa"/>
          </w:tcPr>
          <w:p w14:paraId="699BB467" w14:textId="77777777" w:rsidR="00AF03D0" w:rsidRDefault="00AF03D0">
            <w:pPr>
              <w:rPr>
                <w:b/>
              </w:rPr>
            </w:pPr>
          </w:p>
        </w:tc>
        <w:tc>
          <w:tcPr>
            <w:tcW w:w="884" w:type="dxa"/>
          </w:tcPr>
          <w:p w14:paraId="1564BCC5" w14:textId="77777777" w:rsidR="00AF03D0" w:rsidRDefault="00AF03D0">
            <w:pPr>
              <w:rPr>
                <w:b/>
              </w:rPr>
            </w:pPr>
          </w:p>
        </w:tc>
        <w:tc>
          <w:tcPr>
            <w:tcW w:w="916" w:type="dxa"/>
          </w:tcPr>
          <w:p w14:paraId="54AA93E1" w14:textId="77777777" w:rsidR="00AF03D0" w:rsidRDefault="00AF03D0">
            <w:pPr>
              <w:rPr>
                <w:b/>
              </w:rPr>
            </w:pPr>
          </w:p>
        </w:tc>
        <w:tc>
          <w:tcPr>
            <w:tcW w:w="1027" w:type="dxa"/>
          </w:tcPr>
          <w:p w14:paraId="2EF7EF10" w14:textId="77777777" w:rsidR="00AF03D0" w:rsidRDefault="00AF03D0">
            <w:pPr>
              <w:rPr>
                <w:b/>
              </w:rPr>
            </w:pPr>
          </w:p>
        </w:tc>
        <w:tc>
          <w:tcPr>
            <w:tcW w:w="851" w:type="dxa"/>
          </w:tcPr>
          <w:p w14:paraId="789B07DC" w14:textId="77777777" w:rsidR="00AF03D0" w:rsidRDefault="00AF03D0">
            <w:pPr>
              <w:rPr>
                <w:b/>
              </w:rPr>
            </w:pPr>
          </w:p>
        </w:tc>
        <w:tc>
          <w:tcPr>
            <w:tcW w:w="1047" w:type="dxa"/>
          </w:tcPr>
          <w:p w14:paraId="6E8974F6" w14:textId="77777777" w:rsidR="00AF03D0" w:rsidRDefault="00AF03D0">
            <w:pPr>
              <w:rPr>
                <w:b/>
              </w:rPr>
            </w:pPr>
          </w:p>
        </w:tc>
      </w:tr>
      <w:tr w:rsidR="00AF03D0" w14:paraId="69DBAB06" w14:textId="77777777" w:rsidTr="00AF03D0">
        <w:tc>
          <w:tcPr>
            <w:tcW w:w="720" w:type="dxa"/>
          </w:tcPr>
          <w:p w14:paraId="6DE6488D" w14:textId="77777777" w:rsidR="00AF03D0" w:rsidRDefault="00AF03D0">
            <w:pPr>
              <w:rPr>
                <w:b/>
              </w:rPr>
            </w:pPr>
          </w:p>
        </w:tc>
        <w:tc>
          <w:tcPr>
            <w:tcW w:w="936" w:type="dxa"/>
          </w:tcPr>
          <w:p w14:paraId="367A4561" w14:textId="77777777" w:rsidR="00AF03D0" w:rsidRDefault="00AF03D0">
            <w:pPr>
              <w:rPr>
                <w:b/>
              </w:rPr>
            </w:pPr>
          </w:p>
        </w:tc>
        <w:tc>
          <w:tcPr>
            <w:tcW w:w="1087" w:type="dxa"/>
          </w:tcPr>
          <w:p w14:paraId="0BC47355" w14:textId="77777777" w:rsidR="00AF03D0" w:rsidRDefault="00AF03D0">
            <w:pPr>
              <w:rPr>
                <w:b/>
              </w:rPr>
            </w:pPr>
          </w:p>
        </w:tc>
        <w:tc>
          <w:tcPr>
            <w:tcW w:w="1066" w:type="dxa"/>
          </w:tcPr>
          <w:p w14:paraId="0A89363C" w14:textId="77777777" w:rsidR="00AF03D0" w:rsidRDefault="00AF03D0">
            <w:pPr>
              <w:rPr>
                <w:b/>
              </w:rPr>
            </w:pPr>
          </w:p>
        </w:tc>
        <w:tc>
          <w:tcPr>
            <w:tcW w:w="884" w:type="dxa"/>
          </w:tcPr>
          <w:p w14:paraId="4CF251AB" w14:textId="77777777" w:rsidR="00AF03D0" w:rsidRDefault="00AF03D0">
            <w:pPr>
              <w:rPr>
                <w:b/>
              </w:rPr>
            </w:pPr>
          </w:p>
        </w:tc>
        <w:tc>
          <w:tcPr>
            <w:tcW w:w="916" w:type="dxa"/>
          </w:tcPr>
          <w:p w14:paraId="0733FDF8" w14:textId="77777777" w:rsidR="00AF03D0" w:rsidRDefault="00AF03D0">
            <w:pPr>
              <w:rPr>
                <w:b/>
              </w:rPr>
            </w:pPr>
          </w:p>
        </w:tc>
        <w:tc>
          <w:tcPr>
            <w:tcW w:w="1027" w:type="dxa"/>
          </w:tcPr>
          <w:p w14:paraId="70A2B555" w14:textId="77777777" w:rsidR="00AF03D0" w:rsidRDefault="00AF03D0">
            <w:pPr>
              <w:rPr>
                <w:b/>
              </w:rPr>
            </w:pPr>
          </w:p>
        </w:tc>
        <w:tc>
          <w:tcPr>
            <w:tcW w:w="851" w:type="dxa"/>
          </w:tcPr>
          <w:p w14:paraId="2D137E75" w14:textId="77777777" w:rsidR="00AF03D0" w:rsidRDefault="00AF03D0">
            <w:pPr>
              <w:rPr>
                <w:b/>
              </w:rPr>
            </w:pPr>
          </w:p>
        </w:tc>
        <w:tc>
          <w:tcPr>
            <w:tcW w:w="1047" w:type="dxa"/>
          </w:tcPr>
          <w:p w14:paraId="5FE71CA7" w14:textId="77777777" w:rsidR="00AF03D0" w:rsidRDefault="00AF03D0">
            <w:pPr>
              <w:rPr>
                <w:b/>
              </w:rPr>
            </w:pPr>
          </w:p>
        </w:tc>
      </w:tr>
      <w:tr w:rsidR="00AF03D0" w14:paraId="4B39BC3D" w14:textId="77777777" w:rsidTr="00AF03D0">
        <w:tc>
          <w:tcPr>
            <w:tcW w:w="720" w:type="dxa"/>
          </w:tcPr>
          <w:p w14:paraId="7257CE5C" w14:textId="77777777" w:rsidR="00AF03D0" w:rsidRDefault="00AF03D0">
            <w:pPr>
              <w:rPr>
                <w:b/>
              </w:rPr>
            </w:pPr>
          </w:p>
        </w:tc>
        <w:tc>
          <w:tcPr>
            <w:tcW w:w="936" w:type="dxa"/>
          </w:tcPr>
          <w:p w14:paraId="2D948F97" w14:textId="77777777" w:rsidR="00AF03D0" w:rsidRDefault="00AF03D0">
            <w:pPr>
              <w:rPr>
                <w:b/>
              </w:rPr>
            </w:pPr>
          </w:p>
        </w:tc>
        <w:tc>
          <w:tcPr>
            <w:tcW w:w="1087" w:type="dxa"/>
          </w:tcPr>
          <w:p w14:paraId="37556A8C" w14:textId="77777777" w:rsidR="00AF03D0" w:rsidRDefault="00AF03D0">
            <w:pPr>
              <w:rPr>
                <w:b/>
              </w:rPr>
            </w:pPr>
          </w:p>
        </w:tc>
        <w:tc>
          <w:tcPr>
            <w:tcW w:w="1066" w:type="dxa"/>
          </w:tcPr>
          <w:p w14:paraId="62E55CC4" w14:textId="77777777" w:rsidR="00AF03D0" w:rsidRDefault="00AF03D0">
            <w:pPr>
              <w:rPr>
                <w:b/>
              </w:rPr>
            </w:pPr>
          </w:p>
        </w:tc>
        <w:tc>
          <w:tcPr>
            <w:tcW w:w="884" w:type="dxa"/>
          </w:tcPr>
          <w:p w14:paraId="1424B83A" w14:textId="77777777" w:rsidR="00AF03D0" w:rsidRDefault="00AF03D0">
            <w:pPr>
              <w:rPr>
                <w:b/>
              </w:rPr>
            </w:pPr>
          </w:p>
        </w:tc>
        <w:tc>
          <w:tcPr>
            <w:tcW w:w="916" w:type="dxa"/>
          </w:tcPr>
          <w:p w14:paraId="5FBC478F" w14:textId="77777777" w:rsidR="00AF03D0" w:rsidRDefault="00AF03D0">
            <w:pPr>
              <w:rPr>
                <w:b/>
              </w:rPr>
            </w:pPr>
          </w:p>
        </w:tc>
        <w:tc>
          <w:tcPr>
            <w:tcW w:w="1027" w:type="dxa"/>
          </w:tcPr>
          <w:p w14:paraId="55122585" w14:textId="77777777" w:rsidR="00AF03D0" w:rsidRDefault="00AF03D0">
            <w:pPr>
              <w:rPr>
                <w:b/>
              </w:rPr>
            </w:pPr>
          </w:p>
        </w:tc>
        <w:tc>
          <w:tcPr>
            <w:tcW w:w="851" w:type="dxa"/>
          </w:tcPr>
          <w:p w14:paraId="343640B9" w14:textId="77777777" w:rsidR="00AF03D0" w:rsidRDefault="00AF03D0">
            <w:pPr>
              <w:rPr>
                <w:b/>
              </w:rPr>
            </w:pPr>
          </w:p>
        </w:tc>
        <w:tc>
          <w:tcPr>
            <w:tcW w:w="1047" w:type="dxa"/>
          </w:tcPr>
          <w:p w14:paraId="205DD825" w14:textId="77777777" w:rsidR="00AF03D0" w:rsidRDefault="00AF03D0">
            <w:pPr>
              <w:rPr>
                <w:b/>
              </w:rPr>
            </w:pPr>
          </w:p>
        </w:tc>
      </w:tr>
      <w:tr w:rsidR="00AF03D0" w14:paraId="174B8085" w14:textId="77777777" w:rsidTr="005A01FC">
        <w:tc>
          <w:tcPr>
            <w:tcW w:w="2743" w:type="dxa"/>
            <w:gridSpan w:val="3"/>
          </w:tcPr>
          <w:p w14:paraId="5F86E4A1" w14:textId="597C77E4" w:rsidR="00AF03D0" w:rsidRPr="00AF03D0" w:rsidRDefault="00AF03D0">
            <w:pPr>
              <w:rPr>
                <w:b/>
                <w:sz w:val="18"/>
                <w:szCs w:val="18"/>
              </w:rPr>
            </w:pPr>
            <w:r w:rsidRPr="00AF03D0">
              <w:rPr>
                <w:b/>
                <w:sz w:val="18"/>
                <w:szCs w:val="18"/>
              </w:rPr>
              <w:t>Ukupno dana jamstva</w:t>
            </w:r>
          </w:p>
        </w:tc>
        <w:tc>
          <w:tcPr>
            <w:tcW w:w="1066" w:type="dxa"/>
          </w:tcPr>
          <w:p w14:paraId="54FDD705" w14:textId="038701CC" w:rsidR="00AF03D0" w:rsidRPr="00AF03D0" w:rsidRDefault="00AF03D0">
            <w:pPr>
              <w:rPr>
                <w:b/>
                <w:sz w:val="18"/>
                <w:szCs w:val="18"/>
              </w:rPr>
            </w:pPr>
            <w:r w:rsidRPr="00AF03D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84" w:type="dxa"/>
          </w:tcPr>
          <w:p w14:paraId="292EAF30" w14:textId="77777777" w:rsidR="00AF03D0" w:rsidRDefault="00AF03D0">
            <w:pPr>
              <w:rPr>
                <w:b/>
              </w:rPr>
            </w:pPr>
          </w:p>
        </w:tc>
        <w:tc>
          <w:tcPr>
            <w:tcW w:w="916" w:type="dxa"/>
          </w:tcPr>
          <w:p w14:paraId="7F038C24" w14:textId="77777777" w:rsidR="00AF03D0" w:rsidRDefault="00AF03D0">
            <w:pPr>
              <w:rPr>
                <w:b/>
              </w:rPr>
            </w:pPr>
          </w:p>
        </w:tc>
        <w:tc>
          <w:tcPr>
            <w:tcW w:w="1027" w:type="dxa"/>
          </w:tcPr>
          <w:p w14:paraId="46243AC3" w14:textId="77777777" w:rsidR="00AF03D0" w:rsidRDefault="00AF03D0">
            <w:pPr>
              <w:rPr>
                <w:b/>
              </w:rPr>
            </w:pPr>
          </w:p>
        </w:tc>
        <w:tc>
          <w:tcPr>
            <w:tcW w:w="851" w:type="dxa"/>
          </w:tcPr>
          <w:p w14:paraId="76EF2414" w14:textId="77777777" w:rsidR="00AF03D0" w:rsidRDefault="00AF03D0">
            <w:pPr>
              <w:rPr>
                <w:b/>
              </w:rPr>
            </w:pPr>
          </w:p>
        </w:tc>
        <w:tc>
          <w:tcPr>
            <w:tcW w:w="1047" w:type="dxa"/>
          </w:tcPr>
          <w:p w14:paraId="4F47F9EB" w14:textId="77777777" w:rsidR="00AF03D0" w:rsidRDefault="00AF03D0">
            <w:pPr>
              <w:rPr>
                <w:b/>
              </w:rPr>
            </w:pPr>
          </w:p>
        </w:tc>
      </w:tr>
    </w:tbl>
    <w:p w14:paraId="0A8DF4AA" w14:textId="77777777" w:rsidR="00ED6050" w:rsidRDefault="00ED6050">
      <w:pPr>
        <w:rPr>
          <w:b/>
        </w:rPr>
      </w:pPr>
    </w:p>
    <w:p w14:paraId="46B90B45" w14:textId="77777777" w:rsidR="00ED6050" w:rsidRDefault="00ED6050">
      <w:pPr>
        <w:rPr>
          <w:b/>
        </w:rPr>
      </w:pPr>
    </w:p>
    <w:p w14:paraId="4A690DFB" w14:textId="5DCFA10E" w:rsidR="00ED6050" w:rsidRPr="00AF03D0" w:rsidRDefault="00ED6050">
      <w:r w:rsidRPr="00AF03D0">
        <w:t>Tablica 2.- Popis sudskih sporova u tijeku na dan 31.12.2023.</w:t>
      </w:r>
    </w:p>
    <w:p w14:paraId="4ACD55FA" w14:textId="721A6DB3" w:rsidR="00F72787" w:rsidRDefault="00F72787" w:rsidP="0044276C">
      <w:pPr>
        <w:ind w:left="1134" w:hanging="1134"/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854"/>
        <w:gridCol w:w="1131"/>
        <w:gridCol w:w="992"/>
        <w:gridCol w:w="1218"/>
        <w:gridCol w:w="826"/>
        <w:gridCol w:w="1106"/>
        <w:gridCol w:w="1126"/>
        <w:gridCol w:w="818"/>
        <w:gridCol w:w="996"/>
      </w:tblGrid>
      <w:tr w:rsidR="00AF03D0" w:rsidRPr="00AF03D0" w14:paraId="240FAC5E" w14:textId="77777777" w:rsidTr="00AF03D0">
        <w:tc>
          <w:tcPr>
            <w:tcW w:w="924" w:type="dxa"/>
          </w:tcPr>
          <w:p w14:paraId="6359219A" w14:textId="75EFFA56" w:rsidR="00AF03D0" w:rsidRPr="00AF03D0" w:rsidRDefault="00AF03D0" w:rsidP="0044276C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Red.br.</w:t>
            </w:r>
          </w:p>
        </w:tc>
        <w:tc>
          <w:tcPr>
            <w:tcW w:w="1344" w:type="dxa"/>
          </w:tcPr>
          <w:p w14:paraId="6D6B05C2" w14:textId="3BC3C39A" w:rsidR="00AF03D0" w:rsidRPr="00AF03D0" w:rsidRDefault="00AF03D0" w:rsidP="0044276C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Tuženik</w:t>
            </w:r>
          </w:p>
        </w:tc>
        <w:tc>
          <w:tcPr>
            <w:tcW w:w="1134" w:type="dxa"/>
          </w:tcPr>
          <w:p w14:paraId="3DC8C422" w14:textId="3D9347BE" w:rsidR="00AF03D0" w:rsidRPr="00AF03D0" w:rsidRDefault="00AF03D0" w:rsidP="0044276C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Tužitelj</w:t>
            </w:r>
          </w:p>
        </w:tc>
        <w:tc>
          <w:tcPr>
            <w:tcW w:w="1535" w:type="dxa"/>
          </w:tcPr>
          <w:p w14:paraId="5A19327A" w14:textId="31C7F55C" w:rsidR="00AF03D0" w:rsidRPr="00AF03D0" w:rsidRDefault="00AF03D0" w:rsidP="0044276C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Sažeti opis prirode spora</w:t>
            </w:r>
          </w:p>
        </w:tc>
        <w:tc>
          <w:tcPr>
            <w:tcW w:w="826" w:type="dxa"/>
          </w:tcPr>
          <w:p w14:paraId="13B26244" w14:textId="7B190258" w:rsidR="00AF03D0" w:rsidRPr="00AF03D0" w:rsidRDefault="00AF03D0" w:rsidP="0044276C">
            <w:pPr>
              <w:rPr>
                <w:sz w:val="18"/>
                <w:szCs w:val="18"/>
              </w:rPr>
            </w:pPr>
            <w:r w:rsidRPr="00AF03D0">
              <w:rPr>
                <w:sz w:val="18"/>
                <w:szCs w:val="18"/>
              </w:rPr>
              <w:t>Iznos glavnice</w:t>
            </w:r>
          </w:p>
        </w:tc>
        <w:tc>
          <w:tcPr>
            <w:tcW w:w="826" w:type="dxa"/>
          </w:tcPr>
          <w:p w14:paraId="3D708C6A" w14:textId="18F208F3" w:rsidR="00AF03D0" w:rsidRPr="00AF03D0" w:rsidRDefault="00AF03D0" w:rsidP="00442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Procjena financijskog učinka</w:t>
            </w:r>
          </w:p>
        </w:tc>
        <w:tc>
          <w:tcPr>
            <w:tcW w:w="826" w:type="dxa"/>
          </w:tcPr>
          <w:p w14:paraId="21C7A3D0" w14:textId="43CD738A" w:rsidR="00AF03D0" w:rsidRPr="00AF03D0" w:rsidRDefault="00AF03D0" w:rsidP="00442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Procijenjeno vrijeme odljeva ili priljeva sredstava</w:t>
            </w:r>
          </w:p>
        </w:tc>
        <w:tc>
          <w:tcPr>
            <w:tcW w:w="826" w:type="dxa"/>
          </w:tcPr>
          <w:p w14:paraId="02E42C39" w14:textId="1104EC89" w:rsidR="00AF03D0" w:rsidRPr="00AF03D0" w:rsidRDefault="00AF03D0" w:rsidP="00442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Početak sudskog spora</w:t>
            </w:r>
          </w:p>
        </w:tc>
        <w:tc>
          <w:tcPr>
            <w:tcW w:w="826" w:type="dxa"/>
          </w:tcPr>
          <w:p w14:paraId="06812907" w14:textId="41F31419" w:rsidR="00AF03D0" w:rsidRPr="00AF03D0" w:rsidRDefault="00AF03D0" w:rsidP="00442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Napomena</w:t>
            </w:r>
          </w:p>
        </w:tc>
      </w:tr>
      <w:tr w:rsidR="00AF03D0" w14:paraId="2C1188F7" w14:textId="77777777" w:rsidTr="00AF03D0">
        <w:tc>
          <w:tcPr>
            <w:tcW w:w="924" w:type="dxa"/>
          </w:tcPr>
          <w:p w14:paraId="08544CD0" w14:textId="19AE25F9" w:rsidR="00AF03D0" w:rsidRDefault="00AF03D0" w:rsidP="0044276C">
            <w:r>
              <w:t>/</w:t>
            </w:r>
          </w:p>
        </w:tc>
        <w:tc>
          <w:tcPr>
            <w:tcW w:w="1344" w:type="dxa"/>
          </w:tcPr>
          <w:p w14:paraId="25137469" w14:textId="48F3826B" w:rsidR="00AF03D0" w:rsidRDefault="00AF03D0" w:rsidP="0044276C">
            <w:r>
              <w:t>/</w:t>
            </w:r>
          </w:p>
        </w:tc>
        <w:tc>
          <w:tcPr>
            <w:tcW w:w="1134" w:type="dxa"/>
          </w:tcPr>
          <w:p w14:paraId="76659BBF" w14:textId="40DF2F38" w:rsidR="00AF03D0" w:rsidRDefault="00AF03D0" w:rsidP="0044276C">
            <w:r>
              <w:t>/</w:t>
            </w:r>
          </w:p>
        </w:tc>
        <w:tc>
          <w:tcPr>
            <w:tcW w:w="1535" w:type="dxa"/>
          </w:tcPr>
          <w:p w14:paraId="3314EE67" w14:textId="4D2343D8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450AB8F7" w14:textId="5CEEA0C4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4766A383" w14:textId="499A5D3D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479BB2E1" w14:textId="41F7C56D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3B2A36DC" w14:textId="595DBF63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5D875695" w14:textId="7C841C2B" w:rsidR="00AF03D0" w:rsidRDefault="00AF03D0" w:rsidP="0044276C">
            <w:r>
              <w:t>/</w:t>
            </w:r>
          </w:p>
        </w:tc>
      </w:tr>
      <w:tr w:rsidR="00AF03D0" w14:paraId="1F2488EF" w14:textId="77777777" w:rsidTr="00AF03D0">
        <w:tc>
          <w:tcPr>
            <w:tcW w:w="924" w:type="dxa"/>
          </w:tcPr>
          <w:p w14:paraId="37C048B8" w14:textId="73398A57" w:rsidR="00AF03D0" w:rsidRDefault="00AF03D0" w:rsidP="0044276C">
            <w:r>
              <w:t>/</w:t>
            </w:r>
          </w:p>
        </w:tc>
        <w:tc>
          <w:tcPr>
            <w:tcW w:w="1344" w:type="dxa"/>
          </w:tcPr>
          <w:p w14:paraId="66B27E47" w14:textId="017D1B07" w:rsidR="00AF03D0" w:rsidRDefault="00AF03D0" w:rsidP="0044276C">
            <w:r>
              <w:t>/</w:t>
            </w:r>
          </w:p>
        </w:tc>
        <w:tc>
          <w:tcPr>
            <w:tcW w:w="1134" w:type="dxa"/>
          </w:tcPr>
          <w:p w14:paraId="68A355EA" w14:textId="378292EA" w:rsidR="00AF03D0" w:rsidRDefault="00AF03D0" w:rsidP="0044276C">
            <w:r>
              <w:t>/</w:t>
            </w:r>
          </w:p>
        </w:tc>
        <w:tc>
          <w:tcPr>
            <w:tcW w:w="1535" w:type="dxa"/>
          </w:tcPr>
          <w:p w14:paraId="5D23CFF7" w14:textId="274AFDC4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41EE2E64" w14:textId="02F61695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69768F3D" w14:textId="35CD0575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0461F9FF" w14:textId="15571D3F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3DC04F27" w14:textId="4A09A5CB" w:rsidR="00AF03D0" w:rsidRDefault="00AF03D0" w:rsidP="0044276C">
            <w:r>
              <w:t>/</w:t>
            </w:r>
          </w:p>
        </w:tc>
        <w:tc>
          <w:tcPr>
            <w:tcW w:w="826" w:type="dxa"/>
          </w:tcPr>
          <w:p w14:paraId="15A968C2" w14:textId="6F2A4784" w:rsidR="00AF03D0" w:rsidRDefault="00AF03D0" w:rsidP="0044276C">
            <w:r>
              <w:t>/</w:t>
            </w:r>
          </w:p>
        </w:tc>
      </w:tr>
    </w:tbl>
    <w:p w14:paraId="7AEF6662" w14:textId="77777777" w:rsidR="00AF03D0" w:rsidRDefault="00AF03D0" w:rsidP="0044276C">
      <w:pPr>
        <w:ind w:left="1134" w:hanging="1134"/>
      </w:pPr>
    </w:p>
    <w:p w14:paraId="72B05380" w14:textId="429246B7" w:rsidR="00F72787" w:rsidRDefault="00F72787" w:rsidP="0044276C">
      <w:pPr>
        <w:ind w:left="1134" w:hanging="1134"/>
      </w:pPr>
    </w:p>
    <w:p w14:paraId="00AFAE08" w14:textId="6858D45E" w:rsidR="00F72787" w:rsidRDefault="00F72787" w:rsidP="0044276C">
      <w:pPr>
        <w:ind w:left="1134" w:hanging="1134"/>
      </w:pPr>
    </w:p>
    <w:p w14:paraId="23B496A0" w14:textId="77777777" w:rsidR="00F558D8" w:rsidRDefault="00F558D8" w:rsidP="00F558D8">
      <w:pPr>
        <w:ind w:left="1134" w:hanging="1134"/>
      </w:pPr>
      <w:r>
        <w:tab/>
      </w:r>
    </w:p>
    <w:p w14:paraId="62033903" w14:textId="77777777" w:rsidR="00CA3170" w:rsidRDefault="00CA3170" w:rsidP="00F558D8">
      <w:pPr>
        <w:ind w:left="1134" w:hanging="1134"/>
      </w:pPr>
    </w:p>
    <w:p w14:paraId="30AF0D78" w14:textId="77777777" w:rsidR="00CA3170" w:rsidRDefault="00CA3170" w:rsidP="00F558D8">
      <w:pPr>
        <w:ind w:left="1134" w:hanging="1134"/>
      </w:pPr>
    </w:p>
    <w:p w14:paraId="46A48537" w14:textId="5F2C490B" w:rsidR="00CA3170" w:rsidRDefault="00CA3170" w:rsidP="00F558D8">
      <w:pPr>
        <w:ind w:left="1134" w:hanging="1134"/>
      </w:pPr>
      <w:r>
        <w:t xml:space="preserve">Pula, </w:t>
      </w:r>
      <w:r w:rsidR="0044276C">
        <w:t>31</w:t>
      </w:r>
      <w:r>
        <w:t>. 0</w:t>
      </w:r>
      <w:r w:rsidR="0044276C">
        <w:t>1. 202</w:t>
      </w:r>
      <w:r w:rsidR="00E97847">
        <w:t>4</w:t>
      </w:r>
      <w:r>
        <w:t>.</w:t>
      </w:r>
    </w:p>
    <w:p w14:paraId="309779E8" w14:textId="77777777" w:rsidR="00CA3170" w:rsidRDefault="00CA3170" w:rsidP="00F558D8">
      <w:pPr>
        <w:ind w:left="1134" w:hanging="1134"/>
      </w:pPr>
    </w:p>
    <w:p w14:paraId="3E2C747A" w14:textId="77777777" w:rsidR="008F1FC7" w:rsidRDefault="00CA3170" w:rsidP="00F558D8">
      <w:pPr>
        <w:ind w:left="1134" w:hanging="1134"/>
      </w:pPr>
      <w:r>
        <w:t>Os</w:t>
      </w:r>
      <w:r w:rsidR="008F1FC7">
        <w:t>oba za kontakt: Renata Marković</w:t>
      </w:r>
    </w:p>
    <w:p w14:paraId="4A7D32D4" w14:textId="77777777" w:rsidR="00CA3170" w:rsidRDefault="00CA3170" w:rsidP="00F558D8">
      <w:pPr>
        <w:ind w:left="1134" w:hanging="1134"/>
      </w:pPr>
      <w:r>
        <w:t xml:space="preserve"> tel. 052/380-558</w:t>
      </w:r>
    </w:p>
    <w:p w14:paraId="4013C5EF" w14:textId="77777777" w:rsidR="00CA3170" w:rsidRDefault="00CA3170" w:rsidP="00F558D8">
      <w:pPr>
        <w:ind w:left="1134" w:hanging="1134"/>
      </w:pPr>
      <w:r>
        <w:tab/>
      </w:r>
      <w:r>
        <w:tab/>
      </w:r>
      <w:r>
        <w:tab/>
      </w:r>
    </w:p>
    <w:p w14:paraId="519D3046" w14:textId="77777777" w:rsidR="00CA3170" w:rsidRDefault="00CA3170" w:rsidP="00F558D8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</w:t>
      </w:r>
    </w:p>
    <w:p w14:paraId="1651CE17" w14:textId="77777777" w:rsidR="00CA3170" w:rsidRDefault="00CA3170" w:rsidP="00F558D8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74AA9719" w14:textId="071BF51F" w:rsidR="0046622D" w:rsidRDefault="00CA3170" w:rsidP="0046622D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Petko</w:t>
      </w:r>
      <w:proofErr w:type="spellEnd"/>
      <w:r>
        <w:t xml:space="preserve"> </w:t>
      </w:r>
      <w:proofErr w:type="spellStart"/>
      <w:r>
        <w:t>Radulović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  <w:r>
        <w:tab/>
      </w:r>
      <w:r w:rsidR="00EC0467">
        <w:t xml:space="preserve"> </w:t>
      </w:r>
    </w:p>
    <w:sectPr w:rsidR="0046622D" w:rsidSect="00D208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5D4"/>
    <w:multiLevelType w:val="hybridMultilevel"/>
    <w:tmpl w:val="744AA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639"/>
    <w:multiLevelType w:val="hybridMultilevel"/>
    <w:tmpl w:val="E0CEF860"/>
    <w:lvl w:ilvl="0" w:tplc="DA10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33F"/>
    <w:multiLevelType w:val="hybridMultilevel"/>
    <w:tmpl w:val="3F201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D3B7C"/>
    <w:multiLevelType w:val="hybridMultilevel"/>
    <w:tmpl w:val="9C04C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81714"/>
    <w:multiLevelType w:val="hybridMultilevel"/>
    <w:tmpl w:val="ECBC94F2"/>
    <w:lvl w:ilvl="0" w:tplc="D8E8EB3C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29E60C8"/>
    <w:multiLevelType w:val="hybridMultilevel"/>
    <w:tmpl w:val="DDCC7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2D"/>
    <w:rsid w:val="00010C69"/>
    <w:rsid w:val="00090F76"/>
    <w:rsid w:val="000A67D4"/>
    <w:rsid w:val="000A7E60"/>
    <w:rsid w:val="00135D0D"/>
    <w:rsid w:val="00145807"/>
    <w:rsid w:val="001F4C79"/>
    <w:rsid w:val="00246CF7"/>
    <w:rsid w:val="00263CE9"/>
    <w:rsid w:val="00274C85"/>
    <w:rsid w:val="002C70BA"/>
    <w:rsid w:val="00334E86"/>
    <w:rsid w:val="00341B5D"/>
    <w:rsid w:val="00343C91"/>
    <w:rsid w:val="00347A7C"/>
    <w:rsid w:val="0037318E"/>
    <w:rsid w:val="0038597B"/>
    <w:rsid w:val="0038737C"/>
    <w:rsid w:val="003915B5"/>
    <w:rsid w:val="003B06E5"/>
    <w:rsid w:val="003B2605"/>
    <w:rsid w:val="003D4D3F"/>
    <w:rsid w:val="00425D89"/>
    <w:rsid w:val="0044276C"/>
    <w:rsid w:val="00443202"/>
    <w:rsid w:val="00455497"/>
    <w:rsid w:val="0046622D"/>
    <w:rsid w:val="004A5D6E"/>
    <w:rsid w:val="004D79F9"/>
    <w:rsid w:val="005058BC"/>
    <w:rsid w:val="00521DC5"/>
    <w:rsid w:val="005715F5"/>
    <w:rsid w:val="00576A39"/>
    <w:rsid w:val="005823E0"/>
    <w:rsid w:val="00586E48"/>
    <w:rsid w:val="005962D5"/>
    <w:rsid w:val="005E6F5C"/>
    <w:rsid w:val="005F5586"/>
    <w:rsid w:val="006164DD"/>
    <w:rsid w:val="00670A23"/>
    <w:rsid w:val="00670F07"/>
    <w:rsid w:val="00687876"/>
    <w:rsid w:val="00687AC1"/>
    <w:rsid w:val="006A66C0"/>
    <w:rsid w:val="00791329"/>
    <w:rsid w:val="007A07A0"/>
    <w:rsid w:val="007C5838"/>
    <w:rsid w:val="007E467D"/>
    <w:rsid w:val="007E59FB"/>
    <w:rsid w:val="008D235A"/>
    <w:rsid w:val="008D4C08"/>
    <w:rsid w:val="008F1FC7"/>
    <w:rsid w:val="00927542"/>
    <w:rsid w:val="0093469C"/>
    <w:rsid w:val="009543E6"/>
    <w:rsid w:val="00981681"/>
    <w:rsid w:val="009914DB"/>
    <w:rsid w:val="009A4F51"/>
    <w:rsid w:val="00A30D84"/>
    <w:rsid w:val="00A44BD3"/>
    <w:rsid w:val="00A5162A"/>
    <w:rsid w:val="00A61BDF"/>
    <w:rsid w:val="00A65151"/>
    <w:rsid w:val="00AA3228"/>
    <w:rsid w:val="00AC30B0"/>
    <w:rsid w:val="00AD256F"/>
    <w:rsid w:val="00AD53BB"/>
    <w:rsid w:val="00AD6635"/>
    <w:rsid w:val="00AF03D0"/>
    <w:rsid w:val="00BD2A33"/>
    <w:rsid w:val="00BF4E81"/>
    <w:rsid w:val="00C05F8E"/>
    <w:rsid w:val="00C43A90"/>
    <w:rsid w:val="00C708F5"/>
    <w:rsid w:val="00C850CE"/>
    <w:rsid w:val="00C937C0"/>
    <w:rsid w:val="00CA3170"/>
    <w:rsid w:val="00CE2961"/>
    <w:rsid w:val="00D15A96"/>
    <w:rsid w:val="00D208F1"/>
    <w:rsid w:val="00D259E0"/>
    <w:rsid w:val="00D42AA4"/>
    <w:rsid w:val="00D509EE"/>
    <w:rsid w:val="00D75F6E"/>
    <w:rsid w:val="00D809A7"/>
    <w:rsid w:val="00DC33E1"/>
    <w:rsid w:val="00DF39D9"/>
    <w:rsid w:val="00E91FA2"/>
    <w:rsid w:val="00E97847"/>
    <w:rsid w:val="00EC0467"/>
    <w:rsid w:val="00ED6050"/>
    <w:rsid w:val="00EF3FAF"/>
    <w:rsid w:val="00F14628"/>
    <w:rsid w:val="00F16B12"/>
    <w:rsid w:val="00F22C86"/>
    <w:rsid w:val="00F558D8"/>
    <w:rsid w:val="00F72787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4FB0"/>
  <w15:docId w15:val="{3804330C-36A3-43E4-B31D-597D9C67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slov4">
    <w:name w:val="heading 4"/>
    <w:basedOn w:val="Normal"/>
    <w:next w:val="Normal"/>
    <w:link w:val="Naslov4Char"/>
    <w:qFormat/>
    <w:rsid w:val="0046622D"/>
    <w:pPr>
      <w:keepNext/>
      <w:overflowPunct w:val="0"/>
      <w:autoSpaceDE w:val="0"/>
      <w:autoSpaceDN w:val="0"/>
      <w:adjustRightInd w:val="0"/>
      <w:ind w:left="1276" w:hanging="1276"/>
      <w:jc w:val="both"/>
      <w:textAlignment w:val="baseline"/>
      <w:outlineLvl w:val="3"/>
    </w:pPr>
    <w:rPr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6622D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Odlomakpopisa">
    <w:name w:val="List Paragraph"/>
    <w:basedOn w:val="Normal"/>
    <w:uiPriority w:val="34"/>
    <w:qFormat/>
    <w:rsid w:val="004662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0A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A23"/>
    <w:rPr>
      <w:rFonts w:ascii="Segoe UI" w:eastAsia="Times New Roman" w:hAnsi="Segoe UI" w:cs="Segoe UI"/>
      <w:sz w:val="18"/>
      <w:szCs w:val="18"/>
      <w:lang w:eastAsia="it-IT"/>
    </w:rPr>
  </w:style>
  <w:style w:type="table" w:styleId="Reetkatablice">
    <w:name w:val="Table Grid"/>
    <w:basedOn w:val="Obinatablica"/>
    <w:uiPriority w:val="59"/>
    <w:rsid w:val="00AD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9056-5809-4DF7-AAF3-11599DF2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cp:lastPrinted>2024-01-31T09:42:00Z</cp:lastPrinted>
  <dcterms:created xsi:type="dcterms:W3CDTF">2024-01-31T10:19:00Z</dcterms:created>
  <dcterms:modified xsi:type="dcterms:W3CDTF">2024-01-31T11:33:00Z</dcterms:modified>
</cp:coreProperties>
</file>