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</w:rPr>
        <w:t>TEME ZA ZAVRŠNI RAD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spacing w:val="20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spacing w:val="20"/>
          <w:sz w:val="28"/>
          <w:szCs w:val="28"/>
        </w:rPr>
        <w:t xml:space="preserve">TEHNIKA KOMUNICIRANJA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Šk.god. 2021./2022.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Smjer: Poslovni  tajnik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Mentor: dr. sc. Zvonimir Jurković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Značaj i uloga poslovnog tajnika u poduzeću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Važnost sajmova i sajmovanja 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Poslovanje turističkih agencija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Poslovna komunikacija i osvrt na povijest komuniciranja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Utjecaj informacijske tehnologije na poslovno komuniciranje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Poslovno dopisivanje na društvenim mrežama 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Poslovno dopisivanje kao ogledalo sadašnje i buduće poslovne suradnje 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Suvremeno poslovno komuniciranje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Poslovna komunikacija na primjeru poduzeća XY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Međunarodna trgovina kao pokretač rasta i razvoja 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Važnost međunarodnih sajmova za poslovanje poduzeća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Poslovni tajnik u ulozi „people managera“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Važnost komunikacije u funkcioniranju organizacije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Važnost poznavanja poslovne etika na radnom mjestu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Poslovno komuniciranje i odnosi s  medijima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Značaj  poslovnog bon-tona u suvremenom poslovanju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Poslovni/a  tajnik/ca u  suvremenom uredskom poslovanju</w:t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Prijedlog tema za završni rad 2021./2022.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Osnove poduzetništva i menadžmenta 4.f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(Poslovni tajnik/ca)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Pojam poduzetničke ideje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Veza između ekonomije i poduzetništva kroz povijest</w:t>
            </w:r>
          </w:p>
        </w:tc>
      </w:tr>
      <w:tr>
        <w:trPr>
          <w:trHeight w:val="465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Činitelji poduzetničke aktivnosti</w:t>
            </w:r>
          </w:p>
        </w:tc>
      </w:tr>
      <w:tr>
        <w:trPr>
          <w:trHeight w:val="578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Razvoj poduzetništva u zemljama Europske unije i RH</w:t>
            </w:r>
          </w:p>
        </w:tc>
      </w:tr>
      <w:tr>
        <w:trPr>
          <w:trHeight w:val="465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Vrste poduzetništva</w:t>
            </w:r>
          </w:p>
        </w:tc>
      </w:tr>
      <w:tr>
        <w:trPr>
          <w:trHeight w:val="570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Stvaranje i prikupljanje poduzetničkih ideja</w:t>
            </w:r>
          </w:p>
        </w:tc>
      </w:tr>
      <w:tr>
        <w:trPr>
          <w:trHeight w:val="570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Poslovanje poduzetnika</w:t>
            </w:r>
          </w:p>
        </w:tc>
      </w:tr>
      <w:tr>
        <w:trPr>
          <w:trHeight w:val="570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Poduzetništvo u malim i velikim gospodarskim subjektima</w:t>
            </w:r>
          </w:p>
        </w:tc>
      </w:tr>
      <w:tr>
        <w:trPr>
          <w:trHeight w:val="570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Vođenje pothvata</w:t>
            </w:r>
          </w:p>
        </w:tc>
      </w:tr>
      <w:tr>
        <w:trPr>
          <w:trHeight w:val="570" w:hRule="atLeast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Poduzetništvo u suvremenim gospodarstvima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Mirta Došen, mag.oec.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eastAsia="Calibri" w:cs="Calibri Light"/>
          <w:b/>
          <w:b/>
          <w:sz w:val="28"/>
          <w:szCs w:val="28"/>
        </w:rPr>
      </w:pPr>
      <w:r>
        <w:rPr>
          <w:rFonts w:eastAsia="Calibri" w:cs="Calibri Light" w:ascii="Calibri Light" w:hAnsi="Calibri Light"/>
          <w:b/>
          <w:sz w:val="28"/>
          <w:szCs w:val="28"/>
        </w:rPr>
        <w:t>Prijedlog tema za izradbu završnoga rada</w:t>
      </w:r>
    </w:p>
    <w:p>
      <w:pPr>
        <w:pStyle w:val="Normal"/>
        <w:jc w:val="center"/>
        <w:rPr>
          <w:rFonts w:ascii="Calibri Light" w:hAnsi="Calibri Light" w:eastAsia="Calibri" w:cs="Calibri Light"/>
          <w:b/>
          <w:b/>
          <w:sz w:val="28"/>
          <w:szCs w:val="28"/>
        </w:rPr>
      </w:pPr>
      <w:r>
        <w:rPr>
          <w:rFonts w:eastAsia="Calibri" w:cs="Calibri Light" w:ascii="Calibri Light" w:hAnsi="Calibri Light"/>
          <w:b/>
          <w:sz w:val="28"/>
          <w:szCs w:val="28"/>
        </w:rPr>
        <w:t>Ljetni rok – školske 2021./2022. godine</w:t>
      </w:r>
    </w:p>
    <w:p>
      <w:pPr>
        <w:pStyle w:val="Normal"/>
        <w:jc w:val="center"/>
        <w:rPr>
          <w:rFonts w:ascii="Calibri Light" w:hAnsi="Calibri Light" w:eastAsia="Calibri" w:cs="Calibri Light"/>
          <w:b/>
          <w:b/>
          <w:sz w:val="28"/>
          <w:szCs w:val="28"/>
        </w:rPr>
      </w:pPr>
      <w:r>
        <w:rPr>
          <w:rFonts w:eastAsia="Calibri" w:cs="Calibri Light" w:ascii="Calibri Light" w:hAnsi="Calibri Light"/>
          <w:b/>
          <w:sz w:val="28"/>
          <w:szCs w:val="28"/>
        </w:rPr>
        <w:t>Poslovni tajnik - 4. f razred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  <w:u w:val="single"/>
        </w:rPr>
        <w:t xml:space="preserve">Tajničko poslovanje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  <w:u w:val="single"/>
        </w:rPr>
      </w:pPr>
      <w:r>
        <w:rPr>
          <w:rFonts w:cs="Calibri Light" w:cstheme="majorHAnsi" w:ascii="Calibri Light" w:hAnsi="Calibri Light"/>
          <w:b/>
          <w:bCs/>
          <w:sz w:val="28"/>
          <w:szCs w:val="28"/>
          <w:u w:val="single"/>
        </w:rPr>
      </w:r>
    </w:p>
    <w:p>
      <w:pPr>
        <w:pStyle w:val="Normal"/>
        <w:ind w:left="360" w:hanging="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1. Odnosi s javnošću kao komunikacija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2.  Poslovna etika i etički kodeks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3. Spin doktori - da ili ne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4. Krizno komuniciranje i mediji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5.  Konferencija za novinar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6.  Ljudski potencijali i poslovanje organizacije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7. Radna učinkovitost zaposlenika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8. Ljudski resursi – intelektualni kapital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9. Priprema i tijek poslovnih sastanaka</w:t>
      </w:r>
    </w:p>
    <w:p>
      <w:pPr>
        <w:pStyle w:val="Normal"/>
        <w:spacing w:lineRule="auto" w:line="259" w:before="0" w:after="16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10.Vođenje uspješnog intervjua</w:t>
      </w:r>
    </w:p>
    <w:p>
      <w:pPr>
        <w:pStyle w:val="Normal"/>
        <w:spacing w:lineRule="auto" w:line="276"/>
        <w:ind w:left="720" w:hanging="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spacing w:lineRule="auto" w:line="276"/>
        <w:ind w:left="720" w:hanging="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spacing w:lineRule="auto" w:line="276"/>
        <w:ind w:left="720" w:hanging="0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                            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Mentor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                            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Tomislava Komesarović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tbl>
      <w:tblPr>
        <w:tblW w:w="79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4"/>
      </w:tblGrid>
      <w:tr>
        <w:trPr/>
        <w:tc>
          <w:tcPr>
            <w:tcW w:w="79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 Light" w:hAnsi="Calibri Light" w:eastAsia="Calibri" w:cs="Calibri Light"/>
                <w:b/>
                <w:b/>
                <w:sz w:val="28"/>
                <w:szCs w:val="28"/>
              </w:rPr>
            </w:pPr>
            <w:r>
              <w:rPr>
                <w:rFonts w:eastAsia="Calibri" w:cs="Calibri Light" w:ascii="Calibri Light" w:hAnsi="Calibri Light"/>
                <w:sz w:val="28"/>
                <w:szCs w:val="28"/>
                <w:lang w:val="en-US" w:eastAsia="en-US"/>
              </w:rPr>
            </w:r>
          </w:p>
        </w:tc>
      </w:tr>
    </w:tbl>
    <w:p>
      <w:pPr>
        <w:pStyle w:val="Normal"/>
        <w:rPr>
          <w:rFonts w:ascii="Calibri Light" w:hAnsi="Calibri Light" w:eastAsia="Calibri" w:cs="Calibri Light"/>
          <w:b/>
          <w:b/>
          <w:bCs/>
          <w:sz w:val="28"/>
          <w:szCs w:val="28"/>
          <w:u w:val="single"/>
        </w:rPr>
      </w:pPr>
      <w:r>
        <w:rPr>
          <w:rFonts w:eastAsia="Calibri" w:cs="Calibri Light" w:ascii="Calibri Light" w:hAnsi="Calibri Light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Calibri Light" w:hAnsi="Calibri Light" w:eastAsia="Calibri" w:cs="Calibri Light"/>
          <w:b/>
          <w:b/>
          <w:sz w:val="28"/>
          <w:szCs w:val="28"/>
        </w:rPr>
      </w:pPr>
      <w:r>
        <w:rPr>
          <w:rFonts w:eastAsia="Calibri" w:cs="Calibri Light" w:ascii="Calibri Light" w:hAnsi="Calibri Light"/>
          <w:b/>
          <w:sz w:val="28"/>
          <w:szCs w:val="28"/>
        </w:rPr>
        <w:t>Prijedlog tema za izradbu završnoga rada</w:t>
      </w:r>
    </w:p>
    <w:p>
      <w:pPr>
        <w:pStyle w:val="Normal"/>
        <w:jc w:val="center"/>
        <w:rPr>
          <w:rFonts w:ascii="Calibri Light" w:hAnsi="Calibri Light" w:eastAsia="Calibri" w:cs="Calibri Light"/>
          <w:b/>
          <w:b/>
          <w:sz w:val="28"/>
          <w:szCs w:val="28"/>
        </w:rPr>
      </w:pPr>
      <w:r>
        <w:rPr>
          <w:rFonts w:eastAsia="Calibri" w:cs="Calibri Light" w:ascii="Calibri Light" w:hAnsi="Calibri Light"/>
          <w:b/>
          <w:sz w:val="28"/>
          <w:szCs w:val="28"/>
        </w:rPr>
        <w:t>Ljetni rok – školske 2021./2022. godine</w:t>
      </w:r>
    </w:p>
    <w:p>
      <w:pPr>
        <w:pStyle w:val="Normal"/>
        <w:jc w:val="center"/>
        <w:rPr>
          <w:rFonts w:ascii="Calibri Light" w:hAnsi="Calibri Light" w:eastAsia="Calibri" w:cs="Calibri Light"/>
          <w:b/>
          <w:b/>
          <w:sz w:val="28"/>
          <w:szCs w:val="28"/>
        </w:rPr>
      </w:pPr>
      <w:r>
        <w:rPr>
          <w:rFonts w:eastAsia="Calibri" w:cs="Calibri Light" w:ascii="Calibri Light" w:hAnsi="Calibri Light"/>
          <w:b/>
          <w:bCs/>
          <w:sz w:val="28"/>
          <w:szCs w:val="28"/>
          <w:u w:val="single"/>
        </w:rPr>
        <w:t>Poslovni tajnik - 4. f razred</w:t>
      </w:r>
    </w:p>
    <w:p>
      <w:pPr>
        <w:pStyle w:val="Normal"/>
        <w:rPr>
          <w:rFonts w:ascii="Calibri Light" w:hAnsi="Calibri Light" w:eastAsia="Calibri" w:cs="Calibri Light"/>
          <w:b/>
          <w:b/>
          <w:bCs/>
          <w:sz w:val="28"/>
          <w:szCs w:val="28"/>
          <w:u w:val="single"/>
        </w:rPr>
      </w:pPr>
      <w:r>
        <w:rPr>
          <w:rFonts w:eastAsia="Calibri" w:cs="Calibri Light" w:ascii="Calibri Light" w:hAnsi="Calibri Light"/>
          <w:b/>
          <w:bCs/>
          <w:sz w:val="28"/>
          <w:szCs w:val="28"/>
          <w:u w:val="single"/>
        </w:rPr>
      </w:r>
    </w:p>
    <w:p>
      <w:pPr>
        <w:pStyle w:val="Normal"/>
        <w:rPr>
          <w:rFonts w:ascii="Calibri Light" w:hAnsi="Calibri Light" w:eastAsia="Calibri" w:cs="Calibri Light"/>
          <w:b/>
          <w:b/>
          <w:bCs/>
          <w:sz w:val="28"/>
          <w:szCs w:val="28"/>
          <w:u w:val="single"/>
          <w:lang w:eastAsia="en-US"/>
        </w:rPr>
      </w:pPr>
      <w:r>
        <w:rPr>
          <w:rFonts w:eastAsia="Calibri" w:cs="Calibri Light" w:ascii="Calibri Light" w:hAnsi="Calibri Light"/>
          <w:b/>
          <w:bCs/>
          <w:sz w:val="28"/>
          <w:szCs w:val="28"/>
          <w:u w:val="single"/>
          <w:lang w:eastAsia="en-US"/>
        </w:rPr>
        <w:t xml:space="preserve">Ustavni ustroj Republike Hrvatske 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 xml:space="preserve">1.Postupak provođenja Predsjedničkih izbora 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>2.Europska unija – novi oblik državne zajednice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>3. Ostvarivanje političkih prava i sloboda</w:t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 xml:space="preserve">4.Postupak oduzimanja slobode </w:t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>5.Postupak raspisivanja izbora</w:t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b/>
          <w:b/>
          <w:bCs/>
          <w:sz w:val="28"/>
          <w:szCs w:val="28"/>
          <w:u w:val="single"/>
          <w:lang w:eastAsia="en-US"/>
        </w:rPr>
      </w:pPr>
      <w:r>
        <w:rPr>
          <w:rFonts w:eastAsia="Calibri" w:cs="Calibri Light" w:ascii="Calibri Light" w:hAnsi="Calibri Light"/>
          <w:b/>
          <w:bCs/>
          <w:sz w:val="28"/>
          <w:szCs w:val="28"/>
          <w:u w:val="single"/>
          <w:lang w:eastAsia="en-US"/>
        </w:rPr>
        <w:t xml:space="preserve">Radno pravo </w:t>
      </w:r>
    </w:p>
    <w:p>
      <w:pPr>
        <w:pStyle w:val="Normal"/>
        <w:spacing w:lineRule="auto" w:line="276" w:before="0" w:after="200"/>
        <w:contextualSpacing/>
        <w:rPr>
          <w:rFonts w:ascii="Calibri Light" w:hAnsi="Calibri Light" w:eastAsia="Calibri" w:cs="Calibri Light"/>
          <w:b/>
          <w:b/>
          <w:bCs/>
          <w:sz w:val="28"/>
          <w:szCs w:val="28"/>
          <w:u w:val="single"/>
          <w:lang w:eastAsia="en-US"/>
        </w:rPr>
      </w:pPr>
      <w:r>
        <w:rPr>
          <w:rFonts w:eastAsia="Calibri" w:cs="Calibri Light" w:ascii="Calibri Light" w:hAnsi="Calibri Light"/>
          <w:b/>
          <w:bCs/>
          <w:sz w:val="28"/>
          <w:szCs w:val="28"/>
          <w:u w:val="single"/>
          <w:lang w:eastAsia="en-US"/>
        </w:rPr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 xml:space="preserve">1.Oblici zapošljavanja u Republici Hrvatskoj 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>2.Sklapanje kolektivnih ugovora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>3.Materijalna prava radnika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>4.Sudjelovanje radnika u odlučivanju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 xml:space="preserve">5.Načini prestanka ugovora o radu </w:t>
      </w:r>
    </w:p>
    <w:p>
      <w:pPr>
        <w:pStyle w:val="Normal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eastAsia="Calibri" w:cs="Calibri Light" w:ascii="Calibri Light" w:hAnsi="Calibri Light"/>
          <w:sz w:val="28"/>
          <w:szCs w:val="28"/>
          <w:lang w:eastAsia="en-US"/>
        </w:rPr>
        <w:t>Mentorica</w:t>
      </w:r>
    </w:p>
    <w:p>
      <w:pPr>
        <w:pStyle w:val="Normal"/>
        <w:spacing w:lineRule="auto" w:line="276" w:before="0" w:after="200"/>
        <w:contextualSpacing/>
        <w:jc w:val="center"/>
        <w:rPr>
          <w:rFonts w:ascii="Calibri Light" w:hAnsi="Calibri Light" w:eastAsia="Calibri" w:cs="Calibri Light"/>
          <w:sz w:val="28"/>
          <w:szCs w:val="28"/>
          <w:lang w:eastAsia="en-US"/>
        </w:rPr>
      </w:pPr>
      <w:r>
        <w:rPr>
          <w:rFonts w:eastAsia="Calibri" w:cs="Calibri Light" w:ascii="Calibri Light" w:hAnsi="Calibri Light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 w:cs="Calibri Light" w:ascii="Calibri Light" w:hAnsi="Calibri Light"/>
          <w:sz w:val="28"/>
          <w:szCs w:val="28"/>
          <w:lang w:eastAsia="en-US"/>
        </w:rPr>
        <w:t>Božana Lukić</w:t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  <w:t>TEME ZA IZRADU ZAVRŠNOG RADA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  <w:t>IZ PREDMETA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  <w:t>T A J N I Č K O   P O S L O V A N J E</w:t>
      </w:r>
    </w:p>
    <w:p>
      <w:pPr>
        <w:pStyle w:val="Normal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</w:r>
    </w:p>
    <w:p>
      <w:pPr>
        <w:pStyle w:val="Normal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</w:r>
    </w:p>
    <w:p>
      <w:pPr>
        <w:pStyle w:val="Normal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  <w:t>zanimanje – p o s l o v n i   t a j n i k / c a – 4.f</w:t>
      </w:r>
    </w:p>
    <w:p>
      <w:pPr>
        <w:pStyle w:val="Normal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  <w:t>Šk. god. 2021./2022.</w:t>
      </w:r>
    </w:p>
    <w:p>
      <w:pPr>
        <w:pStyle w:val="Normal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b/>
          <w:sz w:val="28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 xml:space="preserve">1. Odijevanje tajnika/ce 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sz w:val="28"/>
        </w:rPr>
        <w:t xml:space="preserve">2. Područje rada i složenost zanimanja tajnika/ce  </w:t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 xml:space="preserve">3. Uredsko poslovanje javne uprave </w:t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 xml:space="preserve">4. Uredsko poslovanje sudova 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sz w:val="28"/>
        </w:rPr>
        <w:t xml:space="preserve">5. Bonton i komunikacija 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sz w:val="28"/>
        </w:rPr>
        <w:t xml:space="preserve">6.  Planiranje vremena – upravljanje informacijama </w:t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 xml:space="preserve">7. Interna komunikacija – izgradnja pozitivnog ozračja </w:t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 xml:space="preserve">8. Planiranje i priprema domjenaka i svečanih objeda </w:t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>9. Pohranjivanje informacija putem računala - adresne kartice, kalendari</w:t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 w:ascii="Calibri" w:hAnsi="Calibri"/>
          <w:sz w:val="28"/>
        </w:rPr>
        <w:t>10. Radni uvjeti i ergonomija</w:t>
      </w:r>
    </w:p>
    <w:p>
      <w:pPr>
        <w:pStyle w:val="Normal"/>
        <w:spacing w:lineRule="auto" w:line="360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</w:r>
    </w:p>
    <w:p>
      <w:pPr>
        <w:pStyle w:val="Normal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  <w:tab/>
        <w:tab/>
        <w:tab/>
        <w:tab/>
        <w:tab/>
        <w:tab/>
        <w:tab/>
        <w:t>Katica Čagalj-Račić, dipl. iur</w:t>
      </w:r>
    </w:p>
    <w:p>
      <w:pPr>
        <w:pStyle w:val="Normal"/>
        <w:rPr>
          <w:rFonts w:ascii="Calibri" w:hAnsi="Calibri" w:eastAsia="Calibri" w:cs="Calibri"/>
          <w:sz w:val="28"/>
        </w:rPr>
      </w:pPr>
      <w:r>
        <w:rPr>
          <w:rFonts w:eastAsia="Calibri" w:cs="Calibri" w:ascii="Calibri" w:hAnsi="Calibri"/>
          <w:sz w:val="28"/>
        </w:rPr>
      </w:r>
    </w:p>
    <w:p>
      <w:pPr>
        <w:pStyle w:val="Normal"/>
        <w:spacing w:lineRule="auto" w:line="276"/>
        <w:ind w:left="720" w:hanging="0"/>
        <w:rPr>
          <w:rFonts w:ascii="Calibri" w:hAnsi="Calibri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19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76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LibreOffice/7.0.1.2$Windows_X86_64 LibreOffice_project/7cbcfc562f6eb6708b5ff7d7397325de9e764452</Application>
  <Pages>5</Pages>
  <Words>450</Words>
  <Characters>2722</Characters>
  <CharactersWithSpaces>3283</CharactersWithSpaces>
  <Paragraphs>85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2021-10-15T15:46:00Z</dcterms:created>
  <dc:creator>Korisnik</dc:creator>
  <dc:description/>
  <dc:language>hr-HR</dc:language>
  <cp:lastModifiedBy/>
  <dcterms:modified xsi:type="dcterms:W3CDTF">2021-10-18T10:55:31Z</dcterms:modified>
  <cp:revision>10</cp:revision>
  <dc:subject/>
  <dc:title>MATURALNE TEME IZ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