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06692">
      <w:pPr>
        <w:pBdr>
          <w:top w:val="nil"/>
          <w:left w:val="nil"/>
          <w:bottom w:val="nil"/>
          <w:right w:val="nil"/>
          <w:between w:val="nil"/>
        </w:pBdr>
        <w:spacing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OBRAZAC POZIVA ZA ORGANIZACIJU VIŠEDNEVNE IZVANUČIONIČKE NASTAVE</w:t>
      </w:r>
    </w:p>
    <w:p w14:paraId="5B9BA4B0">
      <w:pPr>
        <w:pBdr>
          <w:top w:val="nil"/>
          <w:left w:val="nil"/>
          <w:bottom w:val="nil"/>
          <w:right w:val="nil"/>
          <w:between w:val="nil"/>
        </w:pBdr>
        <w:spacing/>
        <w:jc w:val="center"/>
        <w:rPr>
          <w:rFonts w:ascii="Arial" w:hAnsi="Arial" w:eastAsia="Arial" w:cs="Arial"/>
          <w:color w:val="000000"/>
          <w:szCs w:val="22"/>
        </w:rPr>
      </w:pPr>
    </w:p>
    <w:p w14:paraId="7D09CFE0">
      <w:pPr>
        <w:pBdr>
          <w:top w:val="nil"/>
          <w:left w:val="nil"/>
          <w:bottom w:val="nil"/>
          <w:right w:val="nil"/>
          <w:between w:val="nil"/>
        </w:pBdr>
        <w:spacing/>
        <w:jc w:val="center"/>
        <w:rPr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  </w:t>
      </w:r>
    </w:p>
    <w:p w14:paraId="07E56582">
      <w:p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"/>
          <w:szCs w:val="2"/>
        </w:rPr>
      </w:pPr>
    </w:p>
    <w:tbl>
      <w:tblPr>
        <w:tblStyle w:val="a"/>
        <w:tblpPr w:leftFromText="180" w:rightFromText="180" w:vertAnchor="text" w:horzAnchor="margin" w:tblpXSpec="center" w:tblpY="-32"/>
        <w:tblOverlap w:val="never"/>
        <w:tblW w:w="283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8"/>
        <w:gridCol w:w="1418"/>
      </w:tblGrid>
      <w:tr>
        <w:trPr>
          <w:trHeight w:val="203" w:hRule="atLeast"/>
        </w:trPr>
        <w:tc>
          <w:tcPr>
            <w:tcW w:type="dxa" w:w="14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type="dxa" w:w="14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001</w:t>
            </w:r>
          </w:p>
        </w:tc>
      </w:tr>
    </w:tbl>
    <w:p w14:paraId="0673EBFF">
      <w:p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"/>
          <w:szCs w:val="2"/>
        </w:rPr>
      </w:pPr>
    </w:p>
    <w:tbl>
      <w:tblPr>
        <w:tblStyle w:val="a0"/>
        <w:tblW w:w="10065" w:type="dxa"/>
        <w:tblInd w:w="90" w:type="dxa"/>
        <w:tblLayout w:type="fixed"/>
        <w:tblLook w:val="0400" w:firstRow="0" w:lastRow="0" w:firstColumn="0" w:lastColumn="0" w:noHBand="0" w:noVBand="1"/>
      </w:tblPr>
      <w:tblGrid>
        <w:gridCol w:w="467"/>
        <w:gridCol w:w="556"/>
        <w:gridCol w:w="19"/>
        <w:gridCol w:w="18"/>
        <w:gridCol w:w="3902"/>
        <w:gridCol w:w="908"/>
        <w:gridCol w:w="995"/>
        <w:gridCol w:w="408"/>
        <w:gridCol w:w="144"/>
        <w:gridCol w:w="526"/>
        <w:gridCol w:w="125"/>
        <w:gridCol w:w="576"/>
        <w:gridCol w:w="377"/>
        <w:gridCol w:w="1044"/>
      </w:tblGrid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Podaci o školi: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tražene podatke: </w:t>
            </w:r>
          </w:p>
        </w:tc>
      </w:tr>
      <w:tr>
        <w:trPr>
          <w:trHeight w:val="258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Naziv škole: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Srednja škola Lovre Montija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Adresa:    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Ikičina</w:t>
            </w:r>
            <w:r>
              <w:rPr>
                <w:color w:val="000000"/>
                <w:sz w:val="22"/>
                <w:szCs w:val="22"/>
              </w:rPr>
              <w:t xml:space="preserve"> 30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Mjesto: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Knin 22 300</w:t>
            </w:r>
          </w:p>
        </w:tc>
      </w:tr>
      <w:tr>
        <w:trPr>
          <w:trHeight w:val="258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E-adresa na koju se dostavlja poziv: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231F20"/>
                <w:sz w:val="22"/>
                <w:szCs w:val="22"/>
                <w:shd w:val="clear" w:color="auto" w:fill="FFFFFF"/>
              </w:rPr>
            </w:pPr>
            <w:r>
              <w:rPr/>
              <w:fldChar w:fldCharType="begin"/>
            </w:r>
            <w:r>
              <w:rPr/>
              <w:instrText xml:space="preserve">HYPERLINK "mailto:ured@ss-lovre-montija-knin.skole.hr" </w:instrText>
            </w:r>
            <w:r>
              <w:rPr/>
              <w:fldChar w:fldCharType="separate"/>
            </w:r>
            <w:r>
              <w:rPr>
                <w:rStyle w:val="Hiperveza"/>
                <w:sz w:val="22"/>
                <w:szCs w:val="22"/>
                <w:shd w:val="clear" w:color="auto" w:fill="FFFFFF"/>
              </w:rPr>
              <w:t xml:space="preserve">ured@ss-lovre-montija-knin.skole.hr</w:t>
            </w:r>
            <w:r>
              <w:rPr/>
              <w:fldChar w:fldCharType="end"/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Korisnici usluge su učenici: </w:t>
            </w:r>
          </w:p>
        </w:tc>
        <w:tc>
          <w:tcPr>
            <w:tcW w:type="dxa" w:w="3106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Trećih i </w:t>
            </w:r>
            <w:r>
              <w:rPr>
                <w:color w:val="000000"/>
                <w:sz w:val="22"/>
                <w:szCs w:val="22"/>
              </w:rPr>
              <w:t xml:space="preserve">četvrtih razreda srednje škole</w:t>
            </w:r>
            <w:r>
              <w:rPr>
                <w:color w:val="000000"/>
                <w:sz w:val="22"/>
                <w:szCs w:val="22"/>
              </w:rPr>
              <w:t xml:space="preserve"> Srednje škola Lovre Montija i Srednje strukovne škole kralja Zvonimira</w:t>
            </w:r>
          </w:p>
        </w:tc>
        <w:tc>
          <w:tcPr>
            <w:tcW w:type="dxa" w:w="1997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razreda 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 putovanja: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Uz planirano upisati broj dana i noćenja: </w:t>
            </w:r>
          </w:p>
        </w:tc>
      </w:tr>
      <w:tr>
        <w:trPr>
          <w:trHeight w:val="258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Škola u prirodi </w:t>
            </w:r>
          </w:p>
        </w:tc>
        <w:tc>
          <w:tcPr>
            <w:tcW w:type="dxa" w:w="2455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type="dxa" w:w="2648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>
        <w:trPr>
          <w:trHeight w:val="176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Višednevna terenska nastava </w:t>
            </w:r>
          </w:p>
        </w:tc>
        <w:tc>
          <w:tcPr>
            <w:tcW w:type="dxa" w:w="2455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dana </w:t>
            </w:r>
          </w:p>
        </w:tc>
        <w:tc>
          <w:tcPr>
            <w:tcW w:type="dxa" w:w="2648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noćenja 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Školska ekskurzija </w:t>
            </w:r>
          </w:p>
        </w:tc>
        <w:tc>
          <w:tcPr>
            <w:tcW w:type="dxa" w:w="2455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     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 dana </w:t>
            </w:r>
          </w:p>
        </w:tc>
        <w:tc>
          <w:tcPr>
            <w:tcW w:type="dxa" w:w="2648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    noćenja </w:t>
            </w:r>
          </w:p>
        </w:tc>
      </w:tr>
      <w:tr>
        <w:trPr>
          <w:trHeight w:val="258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Posjet </w:t>
            </w:r>
          </w:p>
        </w:tc>
        <w:tc>
          <w:tcPr>
            <w:tcW w:type="dxa" w:w="2455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type="dxa" w:w="2648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područje, ime/imena države/država: </w:t>
            </w:r>
          </w:p>
        </w:tc>
      </w:tr>
      <w:tr>
        <w:trPr>
          <w:trHeight w:val="392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Područje u Republici Hrvatskoj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Država/e u inozemstvu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Češka – Prag, Njemačka – Dresden, Austrija - Beč</w:t>
            </w:r>
          </w:p>
        </w:tc>
      </w:tr>
      <w:tr>
        <w:trPr>
          <w:trHeight w:val="247" w:hRule="atLeast"/>
        </w:trPr>
        <w:tc>
          <w:tcPr>
            <w:tcW w:type="dxa" w:w="467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495"/>
            <w:gridSpan w:val="4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Planirano vrijeme realizacije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(predložiti u okvirnom terminu od dva tjedna): </w:t>
            </w:r>
          </w:p>
        </w:tc>
        <w:tc>
          <w:tcPr>
            <w:tcW w:type="dxa" w:w="90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Od: 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99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078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Do: 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078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104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202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</w:p>
        </w:tc>
      </w:tr>
      <w:tr>
        <w:trPr>
          <w:trHeight w:val="247" w:hRule="atLeast"/>
        </w:trPr>
        <w:tc>
          <w:tcPr>
            <w:tcW w:type="dxa" w:w="467"/>
            <w:vMerge w:val="continue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495"/>
            <w:gridSpan w:val="4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90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type="dxa" w:w="99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type="dxa" w:w="1078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type="dxa" w:w="1078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type="dxa" w:w="104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Godina </w:t>
            </w:r>
          </w:p>
        </w:tc>
      </w:tr>
      <w:tr>
        <w:trPr>
          <w:trHeight w:val="258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Broj sudionika: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broj: </w:t>
            </w:r>
          </w:p>
        </w:tc>
      </w:tr>
      <w:tr>
        <w:trPr>
          <w:trHeight w:val="314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F2F2F2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fill="F2F2F2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fill="F2F2F2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učenika </w:t>
            </w:r>
          </w:p>
        </w:tc>
        <w:tc>
          <w:tcPr>
            <w:tcW w:type="dxa" w:w="90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 xml:space="preserve">65</w:t>
            </w:r>
          </w:p>
        </w:tc>
        <w:tc>
          <w:tcPr>
            <w:tcW w:type="dxa" w:w="4195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color w:val="231F20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color w:val="231F20"/>
                <w:sz w:val="22"/>
                <w:szCs w:val="22"/>
                <w:shd w:val="clear" w:color="auto" w:fill="FFFFFF"/>
              </w:rPr>
              <w:t xml:space="preserve">   s mogućnošću odstupanja za </w:t>
            </w:r>
            <w:r>
              <w:rPr>
                <w:color w:val="231F20"/>
                <w:sz w:val="22"/>
                <w:szCs w:val="22"/>
                <w:shd w:val="clear" w:color="auto" w:fill="FFFFFF"/>
              </w:rPr>
              <w:t xml:space="preserve">tri</w:t>
            </w:r>
            <w:r>
              <w:rPr>
                <w:color w:val="231F20"/>
                <w:sz w:val="22"/>
                <w:szCs w:val="22"/>
                <w:shd w:val="clear" w:color="auto" w:fill="FFFFFF"/>
              </w:rPr>
              <w:t xml:space="preserve"> učenika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F2F2F2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fill="F2F2F2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b)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fill="F2F2F2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učitelja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226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F2F2F2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fill="F2F2F2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fill="F2F2F2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Očekivani broj gratis ponuda za učenike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 puta: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traženo: </w:t>
            </w:r>
          </w:p>
        </w:tc>
      </w:tr>
      <w:tr>
        <w:trPr>
          <w:trHeight w:val="148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 polaska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Knin</w:t>
            </w:r>
          </w:p>
        </w:tc>
      </w:tr>
      <w:tr>
        <w:trPr>
          <w:trHeight w:val="475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Imena mjesta (gradova i/ili naselja) koja se posjećuju: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Prag, Dresden, Beč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Vrsta prijevoza: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kombinacije: </w:t>
            </w:r>
          </w:p>
        </w:tc>
      </w:tr>
      <w:tr>
        <w:trPr>
          <w:trHeight w:val="544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Autobus koji udovoljava zakonskim propisima za prijevoz učenika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X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Vlak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>
        <w:trPr>
          <w:trHeight w:val="258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Brod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Zrakoplov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Kombinirani prijevoz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258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Smještaj i prehrana: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Označiti s X ili dopisati traženo: 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93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type="dxa" w:w="390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Hostel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93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nil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type="dxa" w:w="390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Hotel, ako je moguće: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X</w:t>
            </w:r>
          </w:p>
        </w:tc>
      </w:tr>
      <w:tr>
        <w:trPr>
          <w:trHeight w:val="203" w:hRule="atLeast"/>
        </w:trPr>
        <w:tc>
          <w:tcPr>
            <w:tcW w:type="dxa" w:w="46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type="dxa" w:w="593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eastAsia="SimHei"/>
                <w:color w:val="000000"/>
                <w:sz w:val="22"/>
                <w:szCs w:val="22"/>
              </w:rPr>
              <w:t xml:space="preserve">□</w:t>
            </w:r>
          </w:p>
        </w:tc>
        <w:tc>
          <w:tcPr>
            <w:tcW w:type="dxa" w:w="390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bliže centru grada</w:t>
            </w:r>
          </w:p>
        </w:tc>
        <w:tc>
          <w:tcPr>
            <w:tcW w:type="dxa" w:w="5103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  <w:shd w:val="clear" w:color="auto" w:fill="FFFFFF"/>
              </w:rPr>
              <w:t xml:space="preserve">Prag</w:t>
            </w:r>
          </w:p>
        </w:tc>
      </w:tr>
      <w:tr>
        <w:trPr>
          <w:trHeight w:val="379" w:hRule="atLeast"/>
        </w:trPr>
        <w:tc>
          <w:tcPr>
            <w:tcW w:type="dxa" w:w="46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type="dxa" w:w="593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eastAsia="SimHei"/>
                <w:color w:val="000000"/>
                <w:sz w:val="22"/>
                <w:szCs w:val="22"/>
              </w:rPr>
              <w:t xml:space="preserve">□</w:t>
            </w:r>
          </w:p>
        </w:tc>
        <w:tc>
          <w:tcPr>
            <w:tcW w:type="dxa" w:w="390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izvan grada s mogućnošću korištenja javnog prijevoza</w:t>
            </w:r>
          </w:p>
        </w:tc>
        <w:tc>
          <w:tcPr>
            <w:tcW w:type="dxa" w:w="5103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231F20"/>
                <w:sz w:val="22"/>
                <w:szCs w:val="22"/>
                <w:shd w:val="clear" w:color="auto" w:fill="FFFFFF"/>
              </w:rPr>
              <w:t xml:space="preserve">(Ime grada/gradova)</w:t>
            </w:r>
          </w:p>
        </w:tc>
      </w:tr>
      <w:tr>
        <w:trPr>
          <w:trHeight w:val="376" w:hRule="atLeast"/>
        </w:trPr>
        <w:tc>
          <w:tcPr>
            <w:tcW w:type="dxa" w:w="46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type="dxa" w:w="593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eastAsia="SimHei"/>
                <w:color w:val="000000"/>
                <w:sz w:val="22"/>
                <w:szCs w:val="22"/>
              </w:rPr>
              <w:t xml:space="preserve">□</w:t>
            </w:r>
          </w:p>
        </w:tc>
        <w:tc>
          <w:tcPr>
            <w:tcW w:type="dxa" w:w="390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ind w:left="243" w:hanging="2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nije bitna udaljenost od grada</w:t>
            </w:r>
          </w:p>
        </w:tc>
        <w:tc>
          <w:tcPr>
            <w:tcW w:type="dxa" w:w="5103"/>
            <w:gridSpan w:val="9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231F20"/>
                <w:sz w:val="22"/>
                <w:szCs w:val="22"/>
                <w:shd w:val="clear" w:color="auto" w:fill="FFFFFF"/>
              </w:rPr>
              <w:t xml:space="preserve">(Ime grada/gradova)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93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type="dxa" w:w="390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Pansion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strike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93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type="dxa" w:w="390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polupansiona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X</w:t>
            </w:r>
          </w:p>
        </w:tc>
      </w:tr>
      <w:tr>
        <w:trPr>
          <w:trHeight w:val="269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93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390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punoga pansiona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</w:p>
        </w:tc>
      </w:tr>
      <w:tr>
        <w:trPr>
          <w:trHeight w:val="894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93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f) </w:t>
            </w:r>
          </w:p>
        </w:tc>
        <w:tc>
          <w:tcPr>
            <w:tcW w:type="dxa" w:w="390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Drugi zahtjevi vezano uz smještaj i/ili prehranu (npr. za učenike s teškoćama, zdravstvenim problemima ili posebnom prehranom i sl.)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>
        <w:trPr>
          <w:trHeight w:val="741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</w:p>
        </w:tc>
        <w:tc>
          <w:tcPr>
            <w:tcW w:type="dxa" w:w="4495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ponude uračunati: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 s imenima svakog muzeja, nacionalnog parka ili parka prirode, dvorca, grada, radionice i sl.: </w:t>
            </w:r>
          </w:p>
        </w:tc>
      </w:tr>
      <w:tr>
        <w:trPr>
          <w:trHeight w:val="336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Ulaznice za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bookmarkStart w:colFirst="0" w:colLast="0" w:id="2" w:name="_gjdgxs"/>
            <w:bookmarkEnd w:id="2"/>
            <w:r>
              <w:rPr>
                <w:color w:val="000000"/>
                <w:sz w:val="22"/>
                <w:szCs w:val="22"/>
              </w:rPr>
              <w:t xml:space="preserve">Kompleks </w:t>
            </w:r>
            <w:r>
              <w:rPr>
                <w:color w:val="000000"/>
                <w:sz w:val="22"/>
                <w:szCs w:val="22"/>
              </w:rPr>
              <w:t xml:space="preserve">Hradčani</w:t>
            </w:r>
            <w:r>
              <w:rPr>
                <w:color w:val="000000"/>
                <w:sz w:val="22"/>
                <w:szCs w:val="22"/>
              </w:rPr>
              <w:t xml:space="preserve">, vožnja </w:t>
            </w:r>
            <w:r>
              <w:rPr>
                <w:color w:val="000000"/>
                <w:sz w:val="22"/>
                <w:szCs w:val="22"/>
              </w:rPr>
              <w:t xml:space="preserve">Vltavom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uz </w:t>
            </w:r>
            <w:r>
              <w:rPr>
                <w:color w:val="000000"/>
                <w:sz w:val="22"/>
                <w:szCs w:val="22"/>
              </w:rPr>
              <w:t xml:space="preserve">ručak, ZOO </w:t>
            </w:r>
            <w:r>
              <w:rPr>
                <w:color w:val="000000"/>
                <w:sz w:val="22"/>
                <w:szCs w:val="22"/>
              </w:rPr>
              <w:t xml:space="preserve"> Troja </w:t>
            </w:r>
            <w:r>
              <w:rPr>
                <w:color w:val="000000"/>
                <w:sz w:val="22"/>
                <w:szCs w:val="22"/>
              </w:rPr>
              <w:t xml:space="preserve">Praha, ulaznice za praške diskoteke (5 kom.), prijevoz do diskoteke i nazad, dvorac </w:t>
            </w:r>
            <w:r>
              <w:rPr>
                <w:color w:val="000000"/>
                <w:sz w:val="22"/>
                <w:szCs w:val="22"/>
              </w:rPr>
              <w:t xml:space="preserve">Sch</w:t>
            </w:r>
            <w:r>
              <w:rPr>
                <w:color w:val="000000"/>
                <w:sz w:val="22"/>
                <w:szCs w:val="22"/>
              </w:rPr>
              <w:t xml:space="preserve">ö</w:t>
            </w:r>
            <w:r>
              <w:rPr>
                <w:color w:val="000000"/>
                <w:sz w:val="22"/>
                <w:szCs w:val="22"/>
              </w:rPr>
              <w:t xml:space="preserve">nbrunn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Sudjelovanje u radionicama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>
        <w:trPr>
          <w:trHeight w:val="288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5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type="dxa" w:w="3939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Turističkog vodiča za razgled grada 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b/>
                <w:bCs/>
                <w:color w:val="231F20"/>
                <w:sz w:val="22"/>
                <w:szCs w:val="22"/>
                <w:shd w:val="clear" w:color="auto" w:fill="FFFFFF"/>
              </w:rPr>
              <w:t xml:space="preserve">X</w:t>
            </w:r>
            <w:r>
              <w:rPr>
                <w:color w:val="231F20"/>
                <w:sz w:val="22"/>
                <w:szCs w:val="22"/>
                <w:shd w:val="clear" w:color="auto" w:fill="FFFFFF"/>
              </w:rPr>
              <w:t xml:space="preserve">                                                   (sva </w:t>
            </w:r>
            <w:r>
              <w:rPr>
                <w:rStyle w:val="kurziv"/>
                <w:i/>
                <w:iCs/>
                <w:color w:val="231F20"/>
                <w:sz w:val="22"/>
                <w:szCs w:val="22"/>
                <w:bdr w:val="none" w:color="auto" w:sz="0" w:space="0"/>
                <w:shd w:val="clear" w:color="auto" w:fill="FFFFFF"/>
              </w:rPr>
              <w:t xml:space="preserve">navedena odredišta)</w:t>
            </w:r>
          </w:p>
        </w:tc>
      </w:tr>
      <w:tr>
        <w:trPr>
          <w:trHeight w:val="494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type="dxa" w:w="6806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uključiti i stavke putnog osiguranja od: </w:t>
            </w:r>
          </w:p>
        </w:tc>
        <w:tc>
          <w:tcPr>
            <w:tcW w:type="dxa" w:w="2792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(za br. 12):</w:t>
            </w:r>
          </w:p>
        </w:tc>
      </w:tr>
      <w:tr>
        <w:trPr>
          <w:trHeight w:val="435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75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type="dxa" w:w="6231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posljedica nesretnoga slučaja i bolesti na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putovanju u inozemstvu </w:t>
            </w:r>
          </w:p>
        </w:tc>
        <w:tc>
          <w:tcPr>
            <w:tcW w:type="dxa" w:w="2792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57"/>
              </w:tabs>
              <w: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X</w:t>
            </w:r>
          </w:p>
        </w:tc>
      </w:tr>
      <w:tr>
        <w:trPr>
          <w:trHeight w:val="301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75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type="dxa" w:w="6231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type="dxa" w:w="2792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X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75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type="dxa" w:w="6231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otkaza putovanja </w:t>
            </w:r>
          </w:p>
        </w:tc>
        <w:tc>
          <w:tcPr>
            <w:tcW w:type="dxa" w:w="2792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X</w:t>
            </w:r>
          </w:p>
        </w:tc>
      </w:tr>
      <w:tr>
        <w:trPr>
          <w:trHeight w:val="239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75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type="dxa" w:w="6231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troškova pomoći povratka u mjesto polazišta u slučaju nesreće i bolesti </w:t>
            </w:r>
          </w:p>
        </w:tc>
        <w:tc>
          <w:tcPr>
            <w:tcW w:type="dxa" w:w="2792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X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type="dxa" w:w="575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type="dxa" w:w="6231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oštećenja i gubitka prtljage </w:t>
            </w:r>
          </w:p>
        </w:tc>
        <w:tc>
          <w:tcPr>
            <w:tcW w:type="dxa" w:w="2792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</w:tr>
      <w:tr>
        <w:trPr>
          <w:trHeight w:val="247" w:hRule="atLeast"/>
        </w:trPr>
        <w:tc>
          <w:tcPr>
            <w:tcW w:type="dxa" w:w="46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fill="D9D9D9" w:color="auto" w:val="clear"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</w:t>
            </w:r>
          </w:p>
        </w:tc>
        <w:tc>
          <w:tcPr>
            <w:tcW w:type="dxa" w:w="9598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fill="D9D9D9" w:color="auto" w:val="clea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Dostava ponuda: </w:t>
            </w:r>
          </w:p>
        </w:tc>
      </w:tr>
      <w:tr>
        <w:trPr>
          <w:trHeight w:val="323" w:hRule="atLeast"/>
        </w:trPr>
        <w:tc>
          <w:tcPr>
            <w:tcW w:type="dxa" w:w="4962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Rok dostave ponuda je</w:t>
            </w:r>
          </w:p>
        </w:tc>
        <w:tc>
          <w:tcPr>
            <w:tcW w:type="dxa" w:w="5103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  <w:t xml:space="preserve">. 202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            </w:t>
            </w:r>
            <w:r>
              <w:rPr>
                <w:rStyle w:val="kurziv"/>
                <w:i/>
                <w:iCs/>
                <w:color w:val="231F20"/>
                <w:sz w:val="22"/>
                <w:szCs w:val="22"/>
                <w:bdr w:val="none" w:color="auto" w:sz="0" w:space="0"/>
                <w:shd w:val="clear" w:color="auto" w:fill="FFFFFF"/>
              </w:rPr>
              <w:t xml:space="preserve">        </w:t>
            </w:r>
            <w:r>
              <w:rPr>
                <w:rStyle w:val="kurziv"/>
                <w:color w:val="231F20"/>
                <w:sz w:val="22"/>
                <w:szCs w:val="22"/>
                <w:bdr w:val="none" w:color="auto" w:sz="0" w:space="0"/>
                <w:shd w:val="clear" w:color="auto" w:fill="FFFFFF"/>
              </w:rPr>
              <w:t xml:space="preserve">godine do </w:t>
            </w:r>
            <w:r>
              <w:rPr>
                <w:sz w:val="22"/>
                <w:szCs w:val="22"/>
                <w:shd w:val="clear" w:color="auto" w:fill="FFFFFF"/>
              </w:rPr>
              <w:t xml:space="preserve">1</w:t>
            </w:r>
            <w:r>
              <w:rPr>
                <w:sz w:val="22"/>
                <w:szCs w:val="22"/>
                <w:shd w:val="clear" w:color="auto" w:fill="FFFFFF"/>
              </w:rPr>
              <w:t xml:space="preserve">0</w:t>
            </w:r>
            <w:r>
              <w:rPr>
                <w:sz w:val="22"/>
                <w:szCs w:val="22"/>
                <w:shd w:val="clear" w:color="auto" w:fill="FFFFFF"/>
              </w:rPr>
              <w:t xml:space="preserve">.00</w:t>
            </w:r>
            <w:r>
              <w:rPr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Style w:val="kurziv"/>
                <w:color w:val="231F20"/>
                <w:sz w:val="22"/>
                <w:szCs w:val="22"/>
                <w:bdr w:val="none" w:color="auto" w:sz="0" w:space="0"/>
                <w:shd w:val="clear" w:color="auto" w:fill="FFFFFF"/>
              </w:rPr>
              <w:t xml:space="preserve">sati.</w:t>
            </w:r>
            <w:r>
              <w:rPr>
                <w:color w:val="FF0000"/>
                <w:sz w:val="22"/>
                <w:szCs w:val="22"/>
              </w:rPr>
              <w:t xml:space="preserve">    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>
          <w:trHeight w:val="247" w:hRule="atLeast"/>
        </w:trPr>
        <w:tc>
          <w:tcPr>
            <w:tcW w:type="dxa" w:w="7273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Razmatranje ponuda održat će se u školi dana </w:t>
            </w:r>
          </w:p>
        </w:tc>
        <w:tc>
          <w:tcPr>
            <w:tcW w:type="dxa" w:w="1371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202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421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</w:rPr>
              <w:t xml:space="preserve">1</w:t>
            </w:r>
            <w:r>
              <w:rPr>
                <w:b/>
                <w:bCs/>
                <w:sz w:val="22"/>
                <w:szCs w:val="22"/>
                <w:bdr w:val="none" w:color="auto" w:sz="0" w:space="0"/>
              </w:rPr>
              <w:t xml:space="preserve">3</w:t>
            </w:r>
            <w:r>
              <w:rPr>
                <w:b/>
                <w:bCs/>
                <w:sz w:val="22"/>
                <w:szCs w:val="22"/>
                <w:bdr w:val="none" w:color="auto" w:sz="0" w:space="0"/>
              </w:rPr>
              <w:t xml:space="preserve">.</w:t>
            </w:r>
            <w:r>
              <w:rPr>
                <w:b/>
                <w:bCs/>
                <w:sz w:val="22"/>
                <w:szCs w:val="22"/>
                <w:bdr w:val="none" w:color="auto" w:sz="0" w:space="0"/>
              </w:rPr>
              <w:t xml:space="preserve">0</w:t>
            </w:r>
            <w:r>
              <w:rPr>
                <w:b/>
                <w:bCs/>
                <w:sz w:val="22"/>
                <w:szCs w:val="22"/>
                <w:bdr w:val="none" w:color="auto" w:sz="0" w:space="0"/>
              </w:rPr>
              <w:t xml:space="preserve">0</w:t>
            </w:r>
            <w:r>
              <w:rPr>
                <w:sz w:val="22"/>
                <w:szCs w:val="22"/>
                <w:bdr w:val="none" w:color="auto" w:sz="0" w:space="0"/>
              </w:rPr>
              <w:t xml:space="preserve"> </w:t>
            </w:r>
            <w:r>
              <w:rPr>
                <w:sz w:val="22"/>
                <w:szCs w:val="22"/>
                <w:bdr w:val="none" w:color="auto" w:sz="0" w:space="0"/>
              </w:rPr>
              <w:t xml:space="preserve"> </w:t>
            </w:r>
            <w:r>
              <w:rPr>
                <w:sz w:val="22"/>
                <w:szCs w:val="22"/>
                <w:bdr w:val="none" w:color="auto" w:sz="0" w:space="0"/>
              </w:rPr>
              <w:t xml:space="preserve">u sati</w:t>
            </w:r>
          </w:p>
        </w:tc>
      </w:tr>
    </w:tbl>
    <w:p w14:paraId="405DC9EE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231F20"/>
        </w:rPr>
        <w:br/>
      </w:r>
      <w:r>
        <w:rPr>
          <w:color w:val="000000"/>
          <w:sz w:val="22"/>
        </w:rPr>
        <w:t xml:space="preserve">1. Prije potpisivanja ugovora za ponudu odabrani davatelj usluga dužan je dostaviti ili dati školi na uvid:</w:t>
      </w:r>
    </w:p>
    <w:p w14:paraId="69187F7B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a) dokaz o registraciji (preslika izvatka iz sudskog ili obrtnog registra) iz kojeg je razvidno da je davatelj usluga registriran za obavljanje djelatnosti turističke agencije,</w:t>
      </w:r>
    </w:p>
    <w:p w14:paraId="6BDF9195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AE103A7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2. Mjesec dana prije realizacije ugovora odabrani davatelj usluga dužan je dostaviti ili dati školi na uvid:</w:t>
      </w:r>
    </w:p>
    <w:p w14:paraId="255607B2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a) dokaz o osiguranju jamčevine za slučaj nesolventnosti (za višednevnu ekskurziju ili višednevnu terensku nastavu),</w:t>
      </w:r>
    </w:p>
    <w:p w14:paraId="7071EC09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b) dokaz o osiguranju od odgovornosti za štetu koju turistička agencija prouzroči neispunjenjem, djelomičnim ispunjenjem ili neurednim ispunjenjem obveza iz paket-aranžmana (preslika polica).</w:t>
      </w:r>
    </w:p>
    <w:p w14:paraId="5D791432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3. U slučaju da se poziv objavljuje sukladno čl. 13. st. 12. Pravilnika, dokaz iz točke 2. dostavlja se sedam (7) dana prije realizacije ugovora.</w:t>
      </w:r>
    </w:p>
    <w:p w14:paraId="0908B6FB">
      <w:pPr>
        <w:pStyle w:val="box46774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</w:rPr>
      </w:pPr>
      <w:r>
        <w:rPr>
          <w:rStyle w:val="kurziv"/>
          <w:rFonts w:ascii="Minion Pro" w:hAnsi="Minion Pro"/>
          <w:i/>
          <w:iCs/>
          <w:color w:val="000000"/>
          <w:sz w:val="22"/>
          <w:bdr w:val="none" w:color="auto" w:sz="0" w:space="0"/>
        </w:rPr>
        <w:t xml:space="preserve">Napomena:</w:t>
      </w:r>
    </w:p>
    <w:p w14:paraId="2E60757B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1) Pristigle ponude trebaju sadržavati i u cijenu uključivati:</w:t>
      </w:r>
    </w:p>
    <w:p w14:paraId="4587AF4C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a) prijevoz sudionika isključivo prijevoznim sredstvima koji udovoljavaju propisima,</w:t>
      </w:r>
    </w:p>
    <w:p w14:paraId="015CD89F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b) osiguranje odgovornosti i jamčevine.</w:t>
      </w:r>
    </w:p>
    <w:p w14:paraId="61EEEF5A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2) Ponude trebaju biti:</w:t>
      </w:r>
    </w:p>
    <w:p w14:paraId="2661344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a) u skladu s posebnim propisima kojima se uređuje pružanje usluga u turizmu i obavljanje ugostiteljske djelatnosti ili sukladno posebnim propisima,</w:t>
      </w:r>
    </w:p>
    <w:p w14:paraId="7A1E5769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b) razrađene prema traženim točkama i s iskazanom ukupnom cijenom za pojedinog učenika.</w:t>
      </w:r>
    </w:p>
    <w:p w14:paraId="790C4104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3) U obzir će se uzimati ponude zaprimljene poštom na školsku ustanovu do navedenoga roka (dana i sata), odnosno e-poštom ako se postupak provodi sukladno čl. 13. st. 13. ovoga Pravilnika.</w:t>
      </w:r>
    </w:p>
    <w:p w14:paraId="6627299E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7747349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5) Potencijalni davatelj usluga ne može dopisivati i nuditi dodatne pogodnosti.</w:t>
      </w:r>
    </w:p>
    <w:p w14:paraId="19776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hAnsi="Calibri" w:eastAsia="Calibri" w:cs="Calibri"/>
          <w:b/>
          <w:color w:val="000000"/>
          <w:sz w:val="14"/>
          <w:szCs w:val="16"/>
        </w:rPr>
      </w:pPr>
    </w:p>
    <w:sectPr>
      <w:type w:val="nextPage"/>
      <w:pgSz w:w="11906" w:h="16838"/>
      <w:pgMar w:top="1418" w:right="566" w:bottom="1134" w:left="851" w:header="708" w:footer="708" w:gutter="0"/>
      <w:pgBorders/>
      <w:pgNumType w:fmt="decimal" w:start="1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Georgia">
    <w:charset w:val="238"/>
    <w:family w:val="roman"/>
    <w:pitch w:val="variable"/>
    <w:sig w:usb0="00000287" w:usb1="00000000" w:usb2="00000000" w:usb3="00000000" w:csb0="000000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Minion Pro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4170F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name w:val="a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name w:val="a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kurziv" w:customStyle="1">
    <w:name w:val="kurziv"/>
    <w:basedOn w:val="Zadanifontodlomka"/>
    <w:rPr/>
  </w:style>
  <w:style w:type="paragraph" w:styleId="box467740" w:customStyle="1">
    <w:name w:val="box_467740"/>
    <w:basedOn w:val="Normal"/>
    <w:pPr>
      <w:spacing w:before="100" w:beforeAutospacing="1" w:after="100" w:afterAutospacing="1"/>
    </w:pPr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845</Words>
  <Characters>4823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Marija Brajković</cp:lastModifiedBy>
  <cp:lastPrinted>2024-01-23T10:00:00Z</cp:lastPrinted>
  <cp:revision>2</cp:revision>
  <dcterms:created xsi:type="dcterms:W3CDTF">2024-01-24T10:48:00Z</dcterms:created>
  <dcterms:modified xsi:type="dcterms:W3CDTF">2024-01-24T10:48:00Z</dcterms:modified>
</cp:coreProperties>
</file>