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0" w:type="dxa"/>
        <w:tblLook w:val="04A0" w:firstRow="1" w:lastRow="0" w:firstColumn="1" w:lastColumn="0" w:noHBand="0" w:noVBand="1"/>
      </w:tblPr>
      <w:tblGrid>
        <w:gridCol w:w="820"/>
        <w:gridCol w:w="4169"/>
        <w:gridCol w:w="1231"/>
        <w:gridCol w:w="1242"/>
        <w:gridCol w:w="1340"/>
        <w:gridCol w:w="1340"/>
        <w:gridCol w:w="1209"/>
        <w:gridCol w:w="1061"/>
      </w:tblGrid>
      <w:tr w:rsidR="00606B92" w:rsidRPr="00606B92" w:rsidTr="00606B92">
        <w:trPr>
          <w:trHeight w:val="315"/>
        </w:trPr>
        <w:tc>
          <w:tcPr>
            <w:tcW w:w="12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Bilješke uz Obrazac PR-RAS,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="000A1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-12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(značajnija odstupanja u odnosu na isto razdoblje prethodne godine):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4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kunama</w:t>
            </w:r>
          </w:p>
        </w:tc>
        <w:tc>
          <w:tcPr>
            <w:tcW w:w="49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odstupanja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49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Prihodi i rashodi poslovanja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na robu i usluge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631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inozemnih vlada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proračunu iz drugih proračuna i izvanproračunskim korisnicima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1B2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66.764,21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D122E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Glavni razlog</w:t>
            </w:r>
            <w:r w:rsidR="002B3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pove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ćanja je</w:t>
            </w:r>
            <w:r w:rsidR="000D52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povećanje plaća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6D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42.898,26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F71287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Sredstva se odnose na projekte Erasmus. Glavni razlozi povećanja su čak 4 uplate u 2023. godini.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337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2.249,35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337DD0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Razlozi povećanja su veći iznos za povećane troškove obrazovanja za koje su učenici u 2023. g. morali izdvojiti 30 eura za razliku od 2022. g. kada su izdvajali 200 kn. Drugi razlog je povećanje broja učenika odnosno jedan razredni odjel više u ovoj školskoj godini.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A53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840,13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E77D7F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Povećanje prihoda od duplikata svjedodžbi i dvije zaprimljene uplate više za najam prostora za dva automata (461,88 eur).</w:t>
            </w: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663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Donacije od pravnih i fizičkih osoba izvan općeg proračuna i povrat donacija po protestiranim jamstvima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1B6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12.563,71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C265D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maturalnog plesa</w:t>
            </w:r>
            <w:r w:rsidR="001B6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(8.405,97 eura uplata u 2023. za razliku od 42.410,00 kn u 2022.)</w:t>
            </w:r>
            <w:r w:rsidR="00364B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prijevoz učenika na str. izlete i sl. (3.060,oo eura u 2023. naspram 6.980,00 kn u </w:t>
            </w:r>
            <w:r w:rsidR="00233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2022.) i Euroscho</w:t>
            </w:r>
            <w:r w:rsidR="00364B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ol </w:t>
            </w:r>
            <w:r w:rsidR="00233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sport </w:t>
            </w:r>
            <w:r w:rsidR="00B46A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projekt (5.478,62 eur u 2023. dok </w:t>
            </w:r>
            <w:r w:rsidR="00233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 2022. nismo imali taj projekt).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HZZO-a na temelju ugovornih obveza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2B1CC6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63.806,78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5374EA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Uvećanje plaća</w:t>
            </w:r>
            <w:r w:rsidR="002B1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736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2.720,85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5F7545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Veći iznos naknada i potpora isplaćenih unutar sustava COP-a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EA4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72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5.050,53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EA4997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Povećana potr</w:t>
            </w:r>
            <w:r w:rsidR="00272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eba za službenim putovanjima u 2023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meterijal i energiju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272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C7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272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31.396,66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F26E81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Troškovi r</w:t>
            </w:r>
            <w:r w:rsidR="00B119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ealizacij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</w:t>
            </w:r>
            <w:r w:rsidR="00B119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projekata Erasmus za učenike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1D05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11.254,60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4843F6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Smanjeni</w:t>
            </w:r>
            <w:r w:rsidR="003C5F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troškovi reprezentacije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projekta Erasmus (premije osiguranja) te manji troškovi po sudskim presudama</w:t>
            </w:r>
            <w:r w:rsidR="006C45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Kamate na primljene kredite i zajmove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2A0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2A0408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9.930,08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E94028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Isplata</w:t>
            </w:r>
            <w:r w:rsidR="002A0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znatno manjeg iznosa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zateznih kamata</w:t>
            </w:r>
            <w:r w:rsidR="002A0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 dosuđenim sudskim presudama u 2023. g. u odnosu na 2022. g.</w:t>
            </w:r>
          </w:p>
        </w:tc>
      </w:tr>
      <w:tr w:rsidR="00606B92" w:rsidRPr="00606B92" w:rsidTr="00606B92">
        <w:trPr>
          <w:trHeight w:val="7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368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86E16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984,46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86E16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Sredstva u iznosu od 952,02 eura u 2023. za nabavku higijenskih potrepština za učenike. U 2022. nije bilo tih sredstava.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Prihodi i rashodi od nefinancijske imovine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materijalne imovine - prirodnih bogastava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postrojenja i opreme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033BEC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5.300,00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033BEC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Sredstva za izradu studije za nadogr</w:t>
            </w:r>
            <w:r w:rsidR="004C4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dnju</w:t>
            </w:r>
            <w:r w:rsidR="004C4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prostor(ija)a škole.</w:t>
            </w:r>
          </w:p>
        </w:tc>
      </w:tr>
      <w:tr w:rsidR="00606B92" w:rsidRPr="00606B92" w:rsidTr="00606B92">
        <w:trPr>
          <w:trHeight w:val="63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033B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AE2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2.982,95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06270B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Sredstva od Županije koja se odnose na kap</w:t>
            </w:r>
            <w:r w:rsidR="00AE2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italna ulaga</w:t>
            </w:r>
            <w:r w:rsidR="00D87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nja i nabavu opreme u 2022. g.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451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6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Primici i izdaci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815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Primici (povrati) glavnice zajmova danih krditnim i ostalim financijskim institucijama izvan javnog sektora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Primici od povrata depozita i jamčevnih pologa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7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842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u javnom sektoru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10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9221-9222 9222-9221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Višak/Manjak prihoda i primitaka - preneseni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  <w:r w:rsidR="006674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</w:t>
            </w:r>
            <w:r w:rsidR="00FE5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CC1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29.372,09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EF27B3" w:rsidRDefault="00EF27B3" w:rsidP="00EF27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Glavni razlog povećanja viška prihoda </w:t>
            </w:r>
            <w:r w:rsidR="009517FA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u odnosu na prošlu godinu 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su neutr</w:t>
            </w:r>
            <w:r w:rsidR="00614C8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o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šena sredstva za projekt Erasmus </w:t>
            </w:r>
            <w:r w:rsidR="00614C8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čiji će </w:t>
            </w:r>
            <w:r w:rsidR="00B334D9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nastavak realizacije biti u 2024</w:t>
            </w:r>
            <w:r w:rsidR="00614C8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. godini.</w:t>
            </w:r>
          </w:p>
        </w:tc>
      </w:tr>
    </w:tbl>
    <w:p w:rsidR="007B3B40" w:rsidRDefault="007B3B40" w:rsidP="002B5DD1"/>
    <w:p w:rsidR="00606B92" w:rsidRDefault="00606B92" w:rsidP="002B5DD1"/>
    <w:p w:rsidR="00606B92" w:rsidRDefault="00606B92" w:rsidP="002B5DD1"/>
    <w:p w:rsidR="00606B92" w:rsidRDefault="00606B92" w:rsidP="002B5DD1"/>
    <w:p w:rsidR="00606B92" w:rsidRDefault="00606B92" w:rsidP="002B5DD1"/>
    <w:p w:rsidR="00606B92" w:rsidRDefault="00606B92" w:rsidP="002B5DD1"/>
    <w:p w:rsidR="00606B92" w:rsidRDefault="00606B92" w:rsidP="002B5DD1"/>
    <w:p w:rsidR="00606B92" w:rsidRDefault="00606B92" w:rsidP="002B5DD1"/>
    <w:tbl>
      <w:tblPr>
        <w:tblW w:w="16052" w:type="dxa"/>
        <w:tblLook w:val="04A0" w:firstRow="1" w:lastRow="0" w:firstColumn="1" w:lastColumn="0" w:noHBand="0" w:noVBand="1"/>
      </w:tblPr>
      <w:tblGrid>
        <w:gridCol w:w="2155"/>
        <w:gridCol w:w="5857"/>
        <w:gridCol w:w="2031"/>
        <w:gridCol w:w="2052"/>
        <w:gridCol w:w="356"/>
        <w:gridCol w:w="356"/>
        <w:gridCol w:w="356"/>
        <w:gridCol w:w="789"/>
        <w:gridCol w:w="960"/>
        <w:gridCol w:w="1140"/>
      </w:tblGrid>
      <w:tr w:rsidR="00606B92" w:rsidRPr="00606B92" w:rsidTr="00606B92">
        <w:trPr>
          <w:trHeight w:val="315"/>
        </w:trPr>
        <w:tc>
          <w:tcPr>
            <w:tcW w:w="13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 Bilješke uz Obrazac BIL,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="000A1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-12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(značajnija odstupanja u odnosu na isto razdoblje prethodne godine):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8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40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kunama</w:t>
            </w:r>
          </w:p>
        </w:tc>
        <w:tc>
          <w:tcPr>
            <w:tcW w:w="18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odstupanja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857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5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Neproizvedena dugotrajna imovina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CE030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5.241,67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CE030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Izrada studije za nadogradnju škole koja je u vlasništvu druge škole s kojom dijelimo školski prostor i prostorije.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0212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022 i 02922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0341CA" w:rsidRDefault="00C412B0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11.009,22</w:t>
            </w:r>
            <w:r w:rsidR="00606B92" w:rsidRPr="000341CA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7D33EC" w:rsidP="008C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U 202</w:t>
            </w:r>
            <w:r w:rsidR="00C412B0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  <w:r w:rsidR="008C567A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. godini smo nabavili manji iznos</w:t>
            </w:r>
            <w:r w:rsidR="00A72D1C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opreme nego u 202</w:t>
            </w:r>
            <w:r w:rsidR="008C567A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  <w:r w:rsidR="00A72D1C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6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023 i 02923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026 i 02926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04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Proizvedena kratkotrajna imovina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52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Depoziti u kreditnim i ostalim financijskim institucijama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Jamčevni polozi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Ostala potraživanja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8A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754,82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405730" w:rsidP="0040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Nezatvorena </w:t>
            </w:r>
            <w:r w:rsidR="00585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bol</w:t>
            </w:r>
            <w:r w:rsidR="00717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</w:t>
            </w:r>
            <w:r w:rsidR="00585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vanja</w:t>
            </w:r>
            <w:r w:rsidR="00081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na teret HZZO-a</w:t>
            </w:r>
            <w:r w:rsidR="00717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(ost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ao je nezatvoren iznos od 842,08 eur 2023. u odnosu na 87,26 eur u 2022.).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78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Potraživanja za pomoći iz inozemstva  i od subjekata unutar općeg proračuna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103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Potraživanja za prihode od prodaje proizvoda i robe te pruženih usluga i za povrat po protestiranim jamstvima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F97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230,94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5B40A0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0518EC" w:rsidP="000F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Razlog odstupanja je što smo u prethodnom izvještajnom razdo</w:t>
            </w:r>
            <w:r w:rsidR="000F1B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blju imali potraživanja za dva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izlazn</w:t>
            </w:r>
            <w:r w:rsidR="000F1B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račun</w:t>
            </w:r>
            <w:r w:rsidR="000F1B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a u ov</w:t>
            </w:r>
            <w:r w:rsidR="000F1B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om izvještajnom razdoblju za jedan (12. mjesec 2023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godine).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129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Potraživanja proračunskih korisnika za sredstva uplaćena u nadležni proračun i za prihode od HZZO-a na temelju ugovornih obveza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F97D0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29.152,60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EA4DF8" w:rsidRDefault="00EA4DF8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B40A0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>Glavni razl</w:t>
            </w:r>
            <w:r w:rsidR="0067667B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>og povećanja</w:t>
            </w:r>
            <w:r w:rsidRPr="005B40A0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 xml:space="preserve"> su neutrošena sredstva za projekt Erasmus čiji će </w:t>
            </w:r>
            <w:r w:rsidR="00D723E5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>nastavak realizacije biti u 2024</w:t>
            </w:r>
            <w:r w:rsidR="0067667B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 xml:space="preserve">. godini. Sljedeći veći razlozi </w:t>
            </w:r>
            <w:r w:rsidR="0067667B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lastRenderedPageBreak/>
              <w:t>povećanja su učenička sredstva, vlastita sredstva, sredstva za maturalni ples, Euroschool sport projekt i sredstva za psihodijagnostičke testove.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23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za rashode poslovanja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F97D0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</w:t>
            </w:r>
            <w:r w:rsidR="00E43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E43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17.060,58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E43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Uvećanje plaća.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za kredite i zajmove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991     996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Izvanbilančni zapisi - aktiva/pasiva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D34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B64F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D34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20.279,97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D3498A" w:rsidRDefault="00B41EE8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Ukupan iznos od </w:t>
            </w:r>
            <w:r w:rsidR="00F404F6"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49.398,81 eur se odnosi na </w:t>
            </w: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10 laptopa u</w:t>
            </w:r>
            <w:r w:rsidR="00F404F6"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 procijenjenom iznosu od 6.103,92 eur</w:t>
            </w: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 dobivenih sukladno Ugovoru o nabavi opreme za opremanje dijela nastavnika u školama-1. dio u sklopu faze programa "e-Škole: Cjelovita informatizacija poslovanja škola i nastavnih procesa poslovanja škola i nastavnih procesa u svrhu stvaranja digitalno zrelih škola za 21. stoljeće" Grupa 2 </w:t>
            </w: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lastRenderedPageBreak/>
              <w:t xml:space="preserve">br. 191-100-920/19 od 16.8. 2019. g., 29 laptopa isporučenih 12.1. 2021. g. i procijenjene vrijednosti od </w:t>
            </w:r>
            <w:r w:rsidR="00DF467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17.701,38</w:t>
            </w:r>
            <w:r w:rsidR="00F404F6"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 eur</w:t>
            </w: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. Tih 29 laptopa je dobiveno sukladno Ugovoru o nabavi opreme za školske djelatnike-faza 2 u sklopu II. faze programa "e-Škole: Cjelovita informatizacija procesa poslovanja škola i nastavnih procesa u svrhu stvaranja digitalno zrelih škola za 21 stoljeće" Grupa 2, br. 171-100</w:t>
            </w:r>
            <w:r w:rsidR="00F404F6"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-920/20 od 8.10. 2020. g. </w:t>
            </w:r>
            <w:r w:rsidR="007375E4" w:rsidRPr="00D3498A">
              <w:rPr>
                <w:rFonts w:ascii="Calibri" w:hAnsi="Calibri" w:cs="Calibri"/>
                <w:color w:val="FF0000"/>
                <w:sz w:val="20"/>
                <w:szCs w:val="20"/>
              </w:rPr>
              <w:t>Carnet-oprema dobivena u 2023. g.-projekt E-škole u iznosu od 5.125,93 eur, Carnet oprema u 2023.: "Učenički uređaj i ormarići" u iznosu od 14.697,58 eur</w:t>
            </w:r>
            <w:r w:rsidR="002C0012" w:rsidRPr="00D3498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Carnet oprema u 2023.-pametna </w:t>
            </w:r>
            <w:r w:rsidR="002C0012" w:rsidRPr="00D3498A"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ploča dobivena naknadnom preraspodjelom preostale opreme-2.885,00 eur te Carnet oprema-pametna ploča iz prethodnih godina koja nije bila u evidenciji-2.885,00 eura.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D3498A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8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Obvezne Bilješke uz Bilancu: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Popis ugovornih odnosa i sl. koji uz ispunjenje određenih uvjeta, mogu postati obveza ili imovina (dana kreditna pisma, hipoteke i sl.)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16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2. Popis sudskih sporova u tijeku - sadrži sažeti opis prirode spora, procjenu financijskog učinka koji može proisteći iz sudskog spora kao obveza ili </w:t>
            </w: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imovina te procijenjeno vrijeme odljeva ili priljeva sredstava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06B92" w:rsidRDefault="00606B92" w:rsidP="002B5DD1"/>
    <w:p w:rsidR="00606B92" w:rsidRDefault="00606B92" w:rsidP="002B5DD1">
      <w:r w:rsidRPr="00606B92">
        <w:rPr>
          <w:b/>
        </w:rPr>
        <w:t>Bilješke u</w:t>
      </w:r>
      <w:r w:rsidR="000A1022">
        <w:rPr>
          <w:b/>
        </w:rPr>
        <w:t>z Obrazac P-VRIO, razdoblje 2023</w:t>
      </w:r>
      <w:r w:rsidRPr="00606B92">
        <w:rPr>
          <w:b/>
        </w:rPr>
        <w:t>-12</w:t>
      </w:r>
      <w:r w:rsidRPr="00606B92">
        <w:t xml:space="preserve"> (obrazložiti od koga je imovina primljena/kome je imovina prenesena/izvršen rashod imovine ili sl.):</w:t>
      </w:r>
    </w:p>
    <w:p w:rsidR="00606B92" w:rsidRDefault="00606B92" w:rsidP="002B5DD1"/>
    <w:tbl>
      <w:tblPr>
        <w:tblW w:w="12040" w:type="dxa"/>
        <w:tblLook w:val="04A0" w:firstRow="1" w:lastRow="0" w:firstColumn="1" w:lastColumn="0" w:noHBand="0" w:noVBand="1"/>
      </w:tblPr>
      <w:tblGrid>
        <w:gridCol w:w="820"/>
        <w:gridCol w:w="3140"/>
        <w:gridCol w:w="1353"/>
        <w:gridCol w:w="1367"/>
        <w:gridCol w:w="1027"/>
        <w:gridCol w:w="1026"/>
        <w:gridCol w:w="1026"/>
        <w:gridCol w:w="2281"/>
      </w:tblGrid>
      <w:tr w:rsidR="00606B92" w:rsidRPr="00606B92" w:rsidTr="00606B92">
        <w:trPr>
          <w:trHeight w:val="315"/>
        </w:trPr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kunama</w:t>
            </w:r>
          </w:p>
        </w:tc>
        <w:tc>
          <w:tcPr>
            <w:tcW w:w="53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povećanja/smanjenja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536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1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91511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Promjene u vrijednosti (revalorizacija) imovine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P016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Promjene u obujmu nefinancijske imovine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4239A3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290,91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FC2F14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Odluka o isknjiženju i prijenosu imovine koja se vodila u poslovnim knjigama MZO-a</w:t>
            </w:r>
            <w:r w:rsidR="009048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u naše poslovne knjige.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P023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Promjene u obujmu financijske imovine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606B92" w:rsidRDefault="00606B92" w:rsidP="002B5DD1"/>
    <w:p w:rsidR="00606B92" w:rsidRDefault="00606B92" w:rsidP="002B5DD1"/>
    <w:p w:rsidR="00606B92" w:rsidRDefault="00606B92" w:rsidP="00606B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06B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   Bilješke uz Obrazac OBVEZE, </w:t>
      </w:r>
      <w:r w:rsidRPr="00606B9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razdoblje </w:t>
      </w:r>
      <w:r w:rsidR="000A10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2023</w:t>
      </w:r>
      <w:r w:rsidRPr="00606B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-12 </w:t>
      </w:r>
      <w:r w:rsidRPr="00606B9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(obrazložiti značajnije pojedinačne obveze i značajnija odstupanja):</w:t>
      </w:r>
    </w:p>
    <w:p w:rsidR="00606B92" w:rsidRDefault="00606B92" w:rsidP="00606B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820"/>
        <w:gridCol w:w="3140"/>
        <w:gridCol w:w="1780"/>
        <w:gridCol w:w="5360"/>
      </w:tblGrid>
      <w:tr w:rsidR="00606B92" w:rsidRPr="00606B92" w:rsidTr="00606B92">
        <w:trPr>
          <w:trHeight w:val="315"/>
        </w:trPr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kunama</w:t>
            </w:r>
          </w:p>
        </w:tc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pojašnjenje strukture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Povećanje obveza u izvještajnom razdoblju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264613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1.233.912,54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B73DD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Obveze se sastoje od obveza koje se tiču sustava COP-a,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novčane naknade zbog neza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pošljavanje osoba s invaliditetom, sudskih presuda,</w:t>
            </w: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projekata Erasmus i drugih projekata</w:t>
            </w: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, obveza za bolovanja, svih računa i predračuna u 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. godini kao i službenih putovanja i naknada za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prijevoz.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Povećanje međusobnih obveza subjekata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F96AC4" w:rsidRDefault="00F96AC4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96AC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  <w:r w:rsidR="00606B92" w:rsidRPr="00F96AC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Podmirene obveze u izvještajnom razdoblju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B92" w:rsidRPr="00606B92" w:rsidRDefault="00B908E0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1.216.851,96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880C07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Podmirene su sve obveze osim plaće za 12. mjesec (COP),  računa za režije za 12. mjesec 202</w:t>
            </w:r>
            <w:r w:rsidR="00B908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. godine </w:t>
            </w:r>
            <w:r w:rsidR="008557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bolovanja </w:t>
            </w:r>
            <w:r w:rsidR="008557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 teret HZZO-a.</w:t>
            </w:r>
          </w:p>
        </w:tc>
      </w:tr>
      <w:tr w:rsidR="00606B92" w:rsidRPr="00606B92" w:rsidTr="00606B92">
        <w:trPr>
          <w:trHeight w:val="537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Podmirene međusobne obveze subjekata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Stanje obveza na kraju izvještajnog razdoblja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F96AC4" w:rsidRDefault="008F431C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     92.184,11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F96AC4" w:rsidRDefault="000D0FF7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Stanje obveza se odnosi na plaću za 12. mjesec (COP), računa za režije za 12. mjesec 202</w:t>
            </w:r>
            <w:r w:rsidR="008F431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. godine, te bolovanja </w:t>
            </w:r>
            <w:r w:rsidR="00C92916"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na teret HZZO-a</w:t>
            </w: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dospjelih obveza na kraju izvještajnog razdoblja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F96AC4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nedospjelih obveza na kraju izvještajnog razdoblja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FB0B23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92.184,11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CC49E9" w:rsidRPr="00CC49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nedospjelih obveza se odnosi na plaću za 12. mjesec (COP), režije za 12. mjesec 202</w:t>
            </w:r>
            <w:r w:rsidR="00297E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  <w:r w:rsidR="00CC49E9" w:rsidRPr="00CC49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godine, te bolovanja </w:t>
            </w:r>
            <w:r w:rsidR="00297E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 teret HZZO-a.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606B92" w:rsidRPr="00606B92" w:rsidRDefault="00606B92" w:rsidP="00606B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34095" w:rsidRDefault="00540B32" w:rsidP="002B5DD1">
      <w:r>
        <w:t xml:space="preserve">               </w:t>
      </w:r>
      <w:r w:rsidR="00B905BB">
        <w:t>KLASA: 400-04/24-01/2</w:t>
      </w:r>
    </w:p>
    <w:p w:rsidR="00606B92" w:rsidRDefault="00B34095" w:rsidP="002B5DD1">
      <w:r>
        <w:t xml:space="preserve"> </w:t>
      </w:r>
      <w:r w:rsidR="00B905BB">
        <w:t xml:space="preserve">              URBROJ: 2182-47-24</w:t>
      </w:r>
      <w:r>
        <w:t>-1</w:t>
      </w:r>
      <w:r w:rsidR="00540B32">
        <w:t xml:space="preserve">                                                                                    Ravnateljica:</w:t>
      </w:r>
    </w:p>
    <w:p w:rsidR="00540B32" w:rsidRDefault="00540B32" w:rsidP="002B5DD1">
      <w:r>
        <w:t xml:space="preserve">                                                                                              </w:t>
      </w:r>
      <w:r w:rsidR="00B34095">
        <w:t xml:space="preserve">                             </w:t>
      </w:r>
      <w:r w:rsidR="0082513D">
        <w:t xml:space="preserve"> </w:t>
      </w:r>
      <w:r w:rsidR="00B34095">
        <w:t xml:space="preserve">          </w:t>
      </w:r>
      <w:r>
        <w:t xml:space="preserve"> Aleksandra Acalin</w:t>
      </w:r>
    </w:p>
    <w:p w:rsidR="00540B32" w:rsidRPr="002B5DD1" w:rsidRDefault="00540B32" w:rsidP="002B5DD1"/>
    <w:sectPr w:rsidR="00540B32" w:rsidRPr="002B5DD1" w:rsidSect="007B3B40"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E5" w:rsidRDefault="00E153E5" w:rsidP="004647FC">
      <w:pPr>
        <w:spacing w:after="0" w:line="240" w:lineRule="auto"/>
      </w:pPr>
      <w:r>
        <w:separator/>
      </w:r>
    </w:p>
  </w:endnote>
  <w:endnote w:type="continuationSeparator" w:id="0">
    <w:p w:rsidR="00E153E5" w:rsidRDefault="00E153E5" w:rsidP="0046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E5" w:rsidRDefault="00E153E5" w:rsidP="004647FC">
      <w:pPr>
        <w:spacing w:after="0" w:line="240" w:lineRule="auto"/>
      </w:pPr>
      <w:r>
        <w:separator/>
      </w:r>
    </w:p>
  </w:footnote>
  <w:footnote w:type="continuationSeparator" w:id="0">
    <w:p w:rsidR="00E153E5" w:rsidRDefault="00E153E5" w:rsidP="00464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40"/>
    <w:rsid w:val="00027FC1"/>
    <w:rsid w:val="00033BEC"/>
    <w:rsid w:val="000341CA"/>
    <w:rsid w:val="000518EC"/>
    <w:rsid w:val="0006270B"/>
    <w:rsid w:val="0008112F"/>
    <w:rsid w:val="000A1022"/>
    <w:rsid w:val="000D0FF7"/>
    <w:rsid w:val="000D5288"/>
    <w:rsid w:val="000F1B13"/>
    <w:rsid w:val="001622DD"/>
    <w:rsid w:val="001B2F2E"/>
    <w:rsid w:val="001B6206"/>
    <w:rsid w:val="001D042B"/>
    <w:rsid w:val="001D05D0"/>
    <w:rsid w:val="001D77DF"/>
    <w:rsid w:val="00233EB0"/>
    <w:rsid w:val="00264613"/>
    <w:rsid w:val="00272D6E"/>
    <w:rsid w:val="00297EF1"/>
    <w:rsid w:val="002A0408"/>
    <w:rsid w:val="002B1CC6"/>
    <w:rsid w:val="002B3E0F"/>
    <w:rsid w:val="002B5DD1"/>
    <w:rsid w:val="002C0012"/>
    <w:rsid w:val="00337DD0"/>
    <w:rsid w:val="00364B96"/>
    <w:rsid w:val="003948EB"/>
    <w:rsid w:val="003C5FD2"/>
    <w:rsid w:val="00405730"/>
    <w:rsid w:val="004239A3"/>
    <w:rsid w:val="004647FC"/>
    <w:rsid w:val="004843F6"/>
    <w:rsid w:val="00485A0D"/>
    <w:rsid w:val="004878E6"/>
    <w:rsid w:val="004C4088"/>
    <w:rsid w:val="004D313C"/>
    <w:rsid w:val="00501626"/>
    <w:rsid w:val="005374EA"/>
    <w:rsid w:val="00540B32"/>
    <w:rsid w:val="00544B0D"/>
    <w:rsid w:val="005859DA"/>
    <w:rsid w:val="005B40A0"/>
    <w:rsid w:val="005F7545"/>
    <w:rsid w:val="00606B92"/>
    <w:rsid w:val="00614C81"/>
    <w:rsid w:val="00667403"/>
    <w:rsid w:val="0067667B"/>
    <w:rsid w:val="00686E16"/>
    <w:rsid w:val="00697EF7"/>
    <w:rsid w:val="006B73DD"/>
    <w:rsid w:val="006C4573"/>
    <w:rsid w:val="006D122E"/>
    <w:rsid w:val="00717B3B"/>
    <w:rsid w:val="00736236"/>
    <w:rsid w:val="007375E4"/>
    <w:rsid w:val="00743664"/>
    <w:rsid w:val="00764B1D"/>
    <w:rsid w:val="007B3B40"/>
    <w:rsid w:val="007B4B6B"/>
    <w:rsid w:val="007D192C"/>
    <w:rsid w:val="007D33EC"/>
    <w:rsid w:val="007E5225"/>
    <w:rsid w:val="0082513D"/>
    <w:rsid w:val="008363C5"/>
    <w:rsid w:val="008557ED"/>
    <w:rsid w:val="00880C07"/>
    <w:rsid w:val="008A55F1"/>
    <w:rsid w:val="008C567A"/>
    <w:rsid w:val="008F431C"/>
    <w:rsid w:val="0090481C"/>
    <w:rsid w:val="0090781D"/>
    <w:rsid w:val="009517FA"/>
    <w:rsid w:val="009D69E3"/>
    <w:rsid w:val="009F6E59"/>
    <w:rsid w:val="00A17D46"/>
    <w:rsid w:val="00A532EC"/>
    <w:rsid w:val="00A72D1C"/>
    <w:rsid w:val="00AB29A9"/>
    <w:rsid w:val="00AE2829"/>
    <w:rsid w:val="00B119C7"/>
    <w:rsid w:val="00B155AF"/>
    <w:rsid w:val="00B20CB8"/>
    <w:rsid w:val="00B334D9"/>
    <w:rsid w:val="00B34095"/>
    <w:rsid w:val="00B41EE8"/>
    <w:rsid w:val="00B46A68"/>
    <w:rsid w:val="00B52283"/>
    <w:rsid w:val="00B64FB5"/>
    <w:rsid w:val="00B905BB"/>
    <w:rsid w:val="00B908E0"/>
    <w:rsid w:val="00C265D2"/>
    <w:rsid w:val="00C412B0"/>
    <w:rsid w:val="00C87604"/>
    <w:rsid w:val="00C912CA"/>
    <w:rsid w:val="00C92916"/>
    <w:rsid w:val="00CC1CCF"/>
    <w:rsid w:val="00CC49E9"/>
    <w:rsid w:val="00CE0302"/>
    <w:rsid w:val="00D3498A"/>
    <w:rsid w:val="00D43970"/>
    <w:rsid w:val="00D723E5"/>
    <w:rsid w:val="00D87EEC"/>
    <w:rsid w:val="00DC7EEC"/>
    <w:rsid w:val="00DF467C"/>
    <w:rsid w:val="00E153E5"/>
    <w:rsid w:val="00E162F5"/>
    <w:rsid w:val="00E43BF1"/>
    <w:rsid w:val="00E51CD5"/>
    <w:rsid w:val="00E63B7D"/>
    <w:rsid w:val="00E77D7F"/>
    <w:rsid w:val="00E94028"/>
    <w:rsid w:val="00EA4997"/>
    <w:rsid w:val="00EA4DF8"/>
    <w:rsid w:val="00EF27B3"/>
    <w:rsid w:val="00F26E81"/>
    <w:rsid w:val="00F404F6"/>
    <w:rsid w:val="00F41A28"/>
    <w:rsid w:val="00F71287"/>
    <w:rsid w:val="00F93941"/>
    <w:rsid w:val="00F96AC4"/>
    <w:rsid w:val="00F97D02"/>
    <w:rsid w:val="00FA2A05"/>
    <w:rsid w:val="00FB0B23"/>
    <w:rsid w:val="00FC2F14"/>
    <w:rsid w:val="00FC43BA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9FC6"/>
  <w15:chartTrackingRefBased/>
  <w15:docId w15:val="{A0C0B719-8072-425C-9564-38F3D1EA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7FC"/>
  </w:style>
  <w:style w:type="paragraph" w:styleId="Podnoje">
    <w:name w:val="footer"/>
    <w:basedOn w:val="Normal"/>
    <w:link w:val="PodnojeChar"/>
    <w:uiPriority w:val="99"/>
    <w:unhideWhenUsed/>
    <w:rsid w:val="0046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7FC"/>
  </w:style>
  <w:style w:type="paragraph" w:styleId="Tekstbalonia">
    <w:name w:val="Balloon Text"/>
    <w:basedOn w:val="Normal"/>
    <w:link w:val="TekstbaloniaChar"/>
    <w:uiPriority w:val="99"/>
    <w:semiHidden/>
    <w:unhideWhenUsed/>
    <w:rsid w:val="0082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1627</Words>
  <Characters>9278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Mestrovic</dc:creator>
  <cp:keywords/>
  <dc:description/>
  <cp:lastModifiedBy>MSS_Racunovodstvo</cp:lastModifiedBy>
  <cp:revision>289</cp:revision>
  <cp:lastPrinted>2023-01-27T09:12:00Z</cp:lastPrinted>
  <dcterms:created xsi:type="dcterms:W3CDTF">2023-01-26T10:22:00Z</dcterms:created>
  <dcterms:modified xsi:type="dcterms:W3CDTF">2024-01-26T12:59:00Z</dcterms:modified>
</cp:coreProperties>
</file>