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97" w:rsidRPr="00C46E97" w:rsidRDefault="00C46E97" w:rsidP="00C46E97">
      <w:pPr>
        <w:spacing w:line="264" w:lineRule="auto"/>
        <w:rPr>
          <w:rFonts w:ascii="Times New Roman" w:eastAsia="Times New Roman" w:hAnsi="Times New Roman" w:cs="Times New Roman"/>
          <w:color w:val="2A1A00"/>
          <w:sz w:val="40"/>
          <w:szCs w:val="24"/>
        </w:rPr>
      </w:pPr>
      <w:r w:rsidRPr="00C46E97">
        <w:rPr>
          <w:rFonts w:eastAsiaTheme="minorEastAsia" w:hAnsi="Gill Sans MT"/>
          <w:i/>
          <w:iCs/>
          <w:color w:val="595959" w:themeColor="text1" w:themeTint="A6"/>
          <w:kern w:val="24"/>
          <w:sz w:val="40"/>
          <w:szCs w:val="40"/>
        </w:rPr>
        <w:t>Bakterijska stanica</w:t>
      </w:r>
    </w:p>
    <w:p w:rsidR="00C46E97" w:rsidRDefault="00C46E97" w:rsidP="00C46E97">
      <w:pPr>
        <w:pStyle w:val="ListParagraph"/>
        <w:numPr>
          <w:ilvl w:val="0"/>
          <w:numId w:val="1"/>
        </w:numPr>
        <w:spacing w:line="264" w:lineRule="auto"/>
        <w:rPr>
          <w:color w:val="2A1A00"/>
          <w:sz w:val="40"/>
        </w:rPr>
      </w:pPr>
      <w:proofErr w:type="spellStart"/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Prokariot</w:t>
      </w:r>
      <w:proofErr w:type="spellEnd"/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: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 xml:space="preserve">  </w:t>
      </w:r>
      <w:proofErr w:type="spellStart"/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Nukleoid</w:t>
      </w:r>
      <w:proofErr w:type="spellEnd"/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 xml:space="preserve"> 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 xml:space="preserve">  Bakterijska DNA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28"/>
          <w:szCs w:val="28"/>
        </w:rPr>
        <w:t xml:space="preserve"> (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</w:rPr>
        <w:t>manje koli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</w:rPr>
        <w:t>č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</w:rPr>
        <w:t>ine RNA i proteina)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 xml:space="preserve">Citoplazma: Otopljene tvari, </w:t>
      </w:r>
      <w:proofErr w:type="spellStart"/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ribosomi</w:t>
      </w:r>
      <w:proofErr w:type="spellEnd"/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 xml:space="preserve">(70S), </w:t>
      </w:r>
      <w:proofErr w:type="spellStart"/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plazmidi</w:t>
      </w:r>
      <w:proofErr w:type="spellEnd"/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, proteini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…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 xml:space="preserve">. nema mitohondrija, ER, </w:t>
      </w:r>
      <w:proofErr w:type="spellStart"/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Golgijeva</w:t>
      </w:r>
      <w:proofErr w:type="spellEnd"/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 xml:space="preserve"> aparata 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Stani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na membrana: G(+) i G(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–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 xml:space="preserve">) bakterije 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Kapsula: Za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š</w:t>
      </w:r>
      <w:r>
        <w:rPr>
          <w:rFonts w:asciiTheme="minorHAnsi" w:eastAsiaTheme="minorEastAsia" w:hAnsi="Gill Sans MT" w:cstheme="minorBidi"/>
          <w:i/>
          <w:iCs/>
          <w:color w:val="595959" w:themeColor="text1" w:themeTint="A6"/>
          <w:kern w:val="24"/>
          <w:sz w:val="40"/>
          <w:szCs w:val="40"/>
        </w:rPr>
        <w:t>titni ugljikohidratni sloj</w:t>
      </w:r>
    </w:p>
    <w:p w:rsidR="001774D9" w:rsidRDefault="001774D9"/>
    <w:p w:rsidR="00C46E97" w:rsidRDefault="00C46E97" w:rsidP="00C46E97">
      <w:pPr>
        <w:pStyle w:val="ListParagraph"/>
        <w:numPr>
          <w:ilvl w:val="0"/>
          <w:numId w:val="2"/>
        </w:numPr>
        <w:spacing w:line="264" w:lineRule="auto"/>
        <w:rPr>
          <w:color w:val="2A1A00"/>
          <w:sz w:val="38"/>
        </w:rPr>
      </w:pPr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38"/>
          <w:szCs w:val="38"/>
        </w:rPr>
        <w:t xml:space="preserve">Antimikrobni lijekovi 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- 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  <w:u w:val="single"/>
        </w:rPr>
        <w:t>Sintetski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 spojevi nepovezani s prirodnim produktima</w:t>
      </w:r>
    </w:p>
    <w:p w:rsidR="00C46E97" w:rsidRDefault="00C46E97" w:rsidP="00C46E97">
      <w:pPr>
        <w:pStyle w:val="ListParagraph"/>
        <w:numPr>
          <w:ilvl w:val="0"/>
          <w:numId w:val="2"/>
        </w:numPr>
        <w:spacing w:line="264" w:lineRule="auto"/>
        <w:rPr>
          <w:color w:val="2A1A00"/>
          <w:sz w:val="38"/>
        </w:rPr>
      </w:pPr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38"/>
          <w:szCs w:val="38"/>
        </w:rPr>
        <w:t>Antibiotici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 - Spojevi izolirani iz 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  <w:u w:val="single"/>
        </w:rPr>
        <w:t>prirodnih izvora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: bakterija, gljivica, plijesni 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        - Sekundarni produkti metabolizma                                  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          mikroorganizama 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        - Sprje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avaju rast/razvoj ili ubijaju druge  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           organizme 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    ILI njihovi sintetski/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>polusintetski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38"/>
          <w:szCs w:val="38"/>
        </w:rPr>
        <w:t xml:space="preserve"> derivati</w:t>
      </w:r>
    </w:p>
    <w:p w:rsidR="00C46E97" w:rsidRDefault="00C46E97"/>
    <w:p w:rsidR="00C46E97" w:rsidRDefault="00C46E97">
      <w:r>
        <w:t>Podjela antimikrobnih lijekova: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Druga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iji mehanizmi djelovanja od antibiotika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>Lijekovi koji utje</w:t>
      </w:r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>u na DNA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:</w:t>
      </w:r>
    </w:p>
    <w:p w:rsidR="00C46E97" w:rsidRDefault="00C46E97" w:rsidP="00C46E97">
      <w:pPr>
        <w:pStyle w:val="ListParagraph"/>
        <w:numPr>
          <w:ilvl w:val="0"/>
          <w:numId w:val="3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lastRenderedPageBreak/>
        <w:t xml:space="preserve">      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Kinoloni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i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fluorokinoloni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</w:t>
      </w:r>
    </w:p>
    <w:p w:rsidR="00C46E97" w:rsidRDefault="00C46E97" w:rsidP="00C46E97">
      <w:pPr>
        <w:pStyle w:val="ListParagraph"/>
        <w:numPr>
          <w:ilvl w:val="0"/>
          <w:numId w:val="3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     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Nitro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-spojevi </w:t>
      </w:r>
    </w:p>
    <w:p w:rsidR="00C46E97" w:rsidRDefault="00C46E97" w:rsidP="00C46E97">
      <w:pPr>
        <w:pStyle w:val="NormalWeb"/>
        <w:spacing w:before="140" w:beforeAutospacing="0" w:after="0" w:afterAutospacing="0" w:line="264" w:lineRule="auto"/>
      </w:pPr>
      <w:proofErr w:type="spellStart"/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>Antimetaboliti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:</w:t>
      </w:r>
    </w:p>
    <w:p w:rsidR="00C46E97" w:rsidRDefault="00C46E97" w:rsidP="00C46E97">
      <w:pPr>
        <w:pStyle w:val="ListParagraph"/>
        <w:numPr>
          <w:ilvl w:val="0"/>
          <w:numId w:val="4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    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Sulfonamidi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</w:t>
      </w:r>
    </w:p>
    <w:p w:rsidR="00C46E97" w:rsidRDefault="00C46E97"/>
    <w:p w:rsidR="00C46E97" w:rsidRDefault="00C46E97">
      <w:r>
        <w:t>Antimikrobna sredstva</w:t>
      </w:r>
    </w:p>
    <w:p w:rsidR="00C46E97" w:rsidRDefault="00C46E97" w:rsidP="00C46E97">
      <w:pPr>
        <w:pStyle w:val="ListParagraph"/>
        <w:numPr>
          <w:ilvl w:val="0"/>
          <w:numId w:val="5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Razlikujemo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mikrobiostatsko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i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mikrobicidno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djelovanje. </w:t>
      </w:r>
    </w:p>
    <w:p w:rsidR="00C46E97" w:rsidRDefault="00C46E97" w:rsidP="00C46E97">
      <w:pPr>
        <w:pStyle w:val="ListParagraph"/>
        <w:numPr>
          <w:ilvl w:val="0"/>
          <w:numId w:val="5"/>
        </w:numPr>
        <w:spacing w:line="264" w:lineRule="auto"/>
        <w:rPr>
          <w:color w:val="2A1A00"/>
          <w:sz w:val="40"/>
        </w:rPr>
      </w:pPr>
      <w:proofErr w:type="spellStart"/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>Mikrobiostatsko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(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bakteriostatsko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) djelovanje je zaustavljanje (inhibicija) rasta i razmno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ž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avanja MO (inhibicijom sinteze proteina MO), 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ime se obrambenim snagama organizma omogu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ć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uje da lak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š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e suzbiju infekciju</w:t>
      </w:r>
    </w:p>
    <w:p w:rsidR="00C46E97" w:rsidRDefault="00C46E97" w:rsidP="00C46E97">
      <w:pPr>
        <w:pStyle w:val="ListParagraph"/>
        <w:numPr>
          <w:ilvl w:val="0"/>
          <w:numId w:val="5"/>
        </w:numPr>
        <w:spacing w:line="264" w:lineRule="auto"/>
        <w:rPr>
          <w:color w:val="2A1A00"/>
          <w:sz w:val="40"/>
        </w:rPr>
      </w:pPr>
      <w:proofErr w:type="spellStart"/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>Mikrobicidno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(baktericidno) djelovanje je izravno ubijanje mikroba 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ime se mo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ž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e izlije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iti infekcija (kada se organizam ne mo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ž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e sam obraniti), i to razaranjem stani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ne membrane ili njenom disfunkcijom. </w:t>
      </w:r>
    </w:p>
    <w:p w:rsidR="00C46E97" w:rsidRDefault="00C46E97" w:rsidP="00C46E97">
      <w:pPr>
        <w:pStyle w:val="ListParagraph"/>
        <w:numPr>
          <w:ilvl w:val="0"/>
          <w:numId w:val="5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Primjena baktericida nu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ž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na je kod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imunokomprimitiranih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bolesnika jer njihov imuni sustav nije sam sposoban do kraja odstraniti bakterije. </w:t>
      </w:r>
    </w:p>
    <w:p w:rsidR="00C46E97" w:rsidRDefault="00C46E97" w:rsidP="00C46E97">
      <w:pPr>
        <w:pStyle w:val="ListParagraph"/>
        <w:numPr>
          <w:ilvl w:val="0"/>
          <w:numId w:val="5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Razlika izme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đ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u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mikrobiostatskog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i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mikrobicidnog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djelovanja naj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e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šć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e je samo u koncentraciji. </w:t>
      </w:r>
    </w:p>
    <w:p w:rsidR="00C46E97" w:rsidRDefault="00C46E97"/>
    <w:p w:rsidR="00C46E97" w:rsidRDefault="00C46E97">
      <w:r>
        <w:t>Antimikrobna terapija</w:t>
      </w:r>
    </w:p>
    <w:p w:rsidR="00C46E97" w:rsidRDefault="00C46E97" w:rsidP="00C46E97">
      <w:pPr>
        <w:pStyle w:val="ListParagraph"/>
        <w:numPr>
          <w:ilvl w:val="0"/>
          <w:numId w:val="6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 xml:space="preserve">Antimikrobna terapija 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je lije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enje uzro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nih infekcijskih bolesti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kemoterapeutskom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sredstvima, tj. uni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š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tavanje MO u makroorganizmu (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ž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ivom organizmu)</w:t>
      </w:r>
    </w:p>
    <w:p w:rsidR="00C46E97" w:rsidRDefault="00C46E97" w:rsidP="00C46E97">
      <w:pPr>
        <w:pStyle w:val="ListParagraph"/>
        <w:numPr>
          <w:ilvl w:val="0"/>
          <w:numId w:val="6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Mo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ž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e biti ciljana, kada se zna uzro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nik,</w:t>
      </w:r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 xml:space="preserve"> empirijska 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(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„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na slijepo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”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), kada se daje antibiotik 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š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irokog spektra, te </w:t>
      </w:r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>profilakti</w:t>
      </w:r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b/>
          <w:bCs/>
          <w:color w:val="595959" w:themeColor="text1" w:themeTint="A6"/>
          <w:kern w:val="24"/>
          <w:sz w:val="40"/>
          <w:szCs w:val="40"/>
        </w:rPr>
        <w:t>ka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, koja se provodi u bolnicama par sati prije operacija.  </w:t>
      </w:r>
    </w:p>
    <w:p w:rsidR="00C46E97" w:rsidRDefault="00C46E97"/>
    <w:p w:rsidR="00C46E97" w:rsidRDefault="00C46E97">
      <w:r>
        <w:t>Rezistencija</w:t>
      </w:r>
    </w:p>
    <w:p w:rsidR="00C46E97" w:rsidRDefault="00C46E97" w:rsidP="00C46E97">
      <w:pPr>
        <w:pStyle w:val="ListParagraph"/>
        <w:numPr>
          <w:ilvl w:val="0"/>
          <w:numId w:val="7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Rezistencija je otpornost MO na u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inak lijeka. Nekoliko je mehanizama rezistencije MO:</w:t>
      </w:r>
    </w:p>
    <w:p w:rsidR="00C46E97" w:rsidRDefault="00C46E97" w:rsidP="00C46E97">
      <w:pPr>
        <w:pStyle w:val="ListParagraph"/>
        <w:numPr>
          <w:ilvl w:val="0"/>
          <w:numId w:val="7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1. pove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ć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ana produkcija enzima koji inaktiviraju lijek (</w:t>
      </w:r>
      <w:r>
        <w:rPr>
          <w:rFonts w:ascii="Arial" w:eastAsiaTheme="minorEastAsia" w:hAnsi="Arial" w:cs="Arial"/>
          <w:color w:val="595959" w:themeColor="text1" w:themeTint="A6"/>
          <w:kern w:val="24"/>
          <w:sz w:val="88"/>
          <w:szCs w:val="88"/>
          <w:lang w:val="el-GR"/>
        </w:rPr>
        <w:t>ᵦ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-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laktamaza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)</w:t>
      </w:r>
    </w:p>
    <w:p w:rsidR="00C46E97" w:rsidRDefault="00C46E97" w:rsidP="00C46E97">
      <w:pPr>
        <w:pStyle w:val="ListParagraph"/>
        <w:numPr>
          <w:ilvl w:val="0"/>
          <w:numId w:val="7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2. promjena u mjestu vezanja lijeka</w:t>
      </w:r>
    </w:p>
    <w:p w:rsidR="00C46E97" w:rsidRDefault="00C46E97" w:rsidP="00C46E97">
      <w:pPr>
        <w:pStyle w:val="ListParagraph"/>
        <w:numPr>
          <w:ilvl w:val="0"/>
          <w:numId w:val="7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3. promjene u stani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noj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stijenci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(sprije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en unos lijeka u bakterijsku stanicu)</w:t>
      </w:r>
    </w:p>
    <w:p w:rsidR="00C46E97" w:rsidRDefault="00C46E97" w:rsidP="00C46E97">
      <w:pPr>
        <w:pStyle w:val="ListParagraph"/>
        <w:numPr>
          <w:ilvl w:val="0"/>
          <w:numId w:val="7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4. razvoj alternativnih metaboli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kih puteva na koje lijek ne djeluje</w:t>
      </w:r>
    </w:p>
    <w:p w:rsidR="00000000" w:rsidRDefault="00B33A3A" w:rsidP="00C46E97">
      <w:pPr>
        <w:numPr>
          <w:ilvl w:val="0"/>
          <w:numId w:val="7"/>
        </w:numPr>
      </w:pPr>
      <w:r w:rsidRPr="00C46E97">
        <w:t xml:space="preserve">Rezistencija </w:t>
      </w:r>
      <w:r w:rsidRPr="00C46E97">
        <w:t xml:space="preserve">se može spriječiti: održavanjem visoke i trajne koncentracije lijeka (omogućuje uništenje izvorne populacije i mutanata), kombiniranjem samo onih antimikrobnih lijekova među kojima nema </w:t>
      </w:r>
      <w:proofErr w:type="spellStart"/>
      <w:r w:rsidRPr="00C46E97">
        <w:t>ukrižene</w:t>
      </w:r>
      <w:proofErr w:type="spellEnd"/>
      <w:r w:rsidRPr="00C46E97">
        <w:t xml:space="preserve"> rezistencije, a trebaju postojati i rezervna sredstva koja ni</w:t>
      </w:r>
      <w:r w:rsidRPr="00C46E97">
        <w:t>su bila upotrijebljena. Tj. primjenjivati što manje sredstava u liječenju zaraznih bolesti</w:t>
      </w:r>
      <w:r w:rsidR="005A7F59">
        <w:t>.</w:t>
      </w:r>
    </w:p>
    <w:p w:rsidR="005A7F59" w:rsidRDefault="005A7F59" w:rsidP="005A7F59">
      <w:pPr>
        <w:ind w:left="720"/>
      </w:pPr>
    </w:p>
    <w:p w:rsidR="005A7F59" w:rsidRDefault="005A7F59" w:rsidP="005A7F59">
      <w:r>
        <w:t>Antimikrobni lijekovi</w:t>
      </w:r>
    </w:p>
    <w:p w:rsidR="005A7F59" w:rsidRDefault="005A7F59" w:rsidP="005A7F59">
      <w:r>
        <w:t>Lijekovi koji utječu na DNA</w:t>
      </w:r>
    </w:p>
    <w:p w:rsidR="005A7F59" w:rsidRDefault="005A7F59" w:rsidP="005A7F59">
      <w:proofErr w:type="spellStart"/>
      <w:r>
        <w:t>Kinoloni</w:t>
      </w:r>
      <w:proofErr w:type="spellEnd"/>
      <w:r>
        <w:t xml:space="preserve"> i </w:t>
      </w:r>
      <w:proofErr w:type="spellStart"/>
      <w:r>
        <w:t>fluorokinoloni</w:t>
      </w:r>
      <w:proofErr w:type="spellEnd"/>
    </w:p>
    <w:p w:rsidR="005A7F59" w:rsidRDefault="005A7F59" w:rsidP="005A7F59">
      <w:pPr>
        <w:pStyle w:val="ListParagraph"/>
        <w:numPr>
          <w:ilvl w:val="0"/>
          <w:numId w:val="10"/>
        </w:numPr>
        <w:spacing w:line="264" w:lineRule="auto"/>
        <w:rPr>
          <w:color w:val="2A1A00"/>
          <w:sz w:val="40"/>
        </w:rPr>
      </w:pPr>
      <w:r>
        <w:t xml:space="preserve">Mehanizam djelovanja: 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Baktericidno djelovanje </w:t>
      </w:r>
    </w:p>
    <w:p w:rsidR="005A7F59" w:rsidRPr="005A7F59" w:rsidRDefault="005A7F59" w:rsidP="005A7F59">
      <w:pPr>
        <w:pStyle w:val="ListParagraph"/>
        <w:numPr>
          <w:ilvl w:val="0"/>
          <w:numId w:val="10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Inhibicija replikacije i transkripcije DNA</w:t>
      </w:r>
    </w:p>
    <w:p w:rsidR="005A7F59" w:rsidRDefault="005A7F59" w:rsidP="005A7F59">
      <w:pPr>
        <w:pStyle w:val="ListParagraph"/>
        <w:spacing w:line="264" w:lineRule="auto"/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</w:pPr>
    </w:p>
    <w:p w:rsidR="005A7F59" w:rsidRPr="005A7F59" w:rsidRDefault="005A7F59" w:rsidP="005A7F59">
      <w:pPr>
        <w:pStyle w:val="ListParagraph"/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Podjela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kinolona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i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fluorokinolona</w:t>
      </w:r>
      <w:proofErr w:type="spellEnd"/>
    </w:p>
    <w:p w:rsidR="005A7F59" w:rsidRDefault="005A7F59" w:rsidP="005A7F59">
      <w:pPr>
        <w:pStyle w:val="ListParagraph"/>
        <w:numPr>
          <w:ilvl w:val="0"/>
          <w:numId w:val="12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Lijekovi 1. generacije </w:t>
      </w:r>
    </w:p>
    <w:p w:rsidR="005A7F59" w:rsidRDefault="005A7F59" w:rsidP="005A7F59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   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Nalidiksinska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kiselina,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piromidinska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kiselina, 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pipemidinska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kiselina</w:t>
      </w:r>
    </w:p>
    <w:p w:rsidR="005A7F59" w:rsidRDefault="005A7F59" w:rsidP="005A7F59">
      <w:pPr>
        <w:pStyle w:val="ListParagraph"/>
        <w:numPr>
          <w:ilvl w:val="0"/>
          <w:numId w:val="13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Lijekovi 2. generacije </w:t>
      </w:r>
    </w:p>
    <w:p w:rsidR="005A7F59" w:rsidRDefault="005A7F59" w:rsidP="005A7F59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  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Norfloksacin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,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enoksacin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,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ciprofloksacin</w:t>
      </w:r>
      <w:proofErr w:type="spellEnd"/>
    </w:p>
    <w:p w:rsidR="005A7F59" w:rsidRDefault="005A7F59" w:rsidP="005A7F59">
      <w:pPr>
        <w:pStyle w:val="ListParagraph"/>
        <w:numPr>
          <w:ilvl w:val="0"/>
          <w:numId w:val="14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Lijekovi 3. generacije </w:t>
      </w:r>
    </w:p>
    <w:p w:rsidR="005A7F59" w:rsidRDefault="005A7F59" w:rsidP="005A7F59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  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Ofloksacin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,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levofloksacin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,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gemifloksacin</w:t>
      </w:r>
      <w:proofErr w:type="spellEnd"/>
    </w:p>
    <w:p w:rsidR="005A7F59" w:rsidRDefault="005A7F59" w:rsidP="005A7F59">
      <w:pPr>
        <w:pStyle w:val="ListParagraph"/>
        <w:numPr>
          <w:ilvl w:val="0"/>
          <w:numId w:val="15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Lijekovi 4. generacije </w:t>
      </w:r>
    </w:p>
    <w:p w:rsidR="005A7F59" w:rsidRDefault="005A7F59" w:rsidP="005A7F59">
      <w:pPr>
        <w:pStyle w:val="NormalWeb"/>
        <w:spacing w:before="140" w:beforeAutospacing="0" w:after="0" w:afterAutospacing="0" w:line="264" w:lineRule="auto"/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  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Moksifloksacin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,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besifloksacin</w:t>
      </w:r>
      <w:proofErr w:type="spellEnd"/>
    </w:p>
    <w:p w:rsidR="005A7F59" w:rsidRDefault="005A7F59" w:rsidP="005A7F59">
      <w:pPr>
        <w:pStyle w:val="ListParagraph"/>
        <w:spacing w:line="264" w:lineRule="auto"/>
        <w:rPr>
          <w:color w:val="2A1A00"/>
          <w:sz w:val="40"/>
        </w:rPr>
      </w:pPr>
    </w:p>
    <w:p w:rsidR="005A7F59" w:rsidRDefault="005A7F59" w:rsidP="005A7F59">
      <w:pPr>
        <w:pStyle w:val="ListParagraph"/>
      </w:pPr>
    </w:p>
    <w:p w:rsidR="005A7F59" w:rsidRDefault="005A7F59" w:rsidP="005A7F59">
      <w:pPr>
        <w:pStyle w:val="ListParagraph"/>
      </w:pPr>
      <w:proofErr w:type="spellStart"/>
      <w:r>
        <w:t>Nitro</w:t>
      </w:r>
      <w:proofErr w:type="spellEnd"/>
      <w:r>
        <w:t>-spojevi</w:t>
      </w:r>
    </w:p>
    <w:p w:rsidR="005A7F59" w:rsidRPr="00C46E97" w:rsidRDefault="005A7F59" w:rsidP="005A7F59">
      <w:pPr>
        <w:pStyle w:val="ListParagraph"/>
      </w:pPr>
    </w:p>
    <w:p w:rsidR="005A7F59" w:rsidRDefault="005A7F59" w:rsidP="005A7F59">
      <w:pPr>
        <w:pStyle w:val="ListParagraph"/>
        <w:numPr>
          <w:ilvl w:val="0"/>
          <w:numId w:val="11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NO2 ulazi u stanicu </w:t>
      </w:r>
    </w:p>
    <w:p w:rsidR="005A7F59" w:rsidRDefault="005A7F59" w:rsidP="005A7F59">
      <w:pPr>
        <w:pStyle w:val="ListParagraph"/>
        <w:numPr>
          <w:ilvl w:val="0"/>
          <w:numId w:val="11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nastaju slobodni radikali koji o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š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te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ć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uju DNA</w:t>
      </w:r>
    </w:p>
    <w:p w:rsidR="005A7F59" w:rsidRPr="005A7F59" w:rsidRDefault="005A7F59" w:rsidP="005A7F59">
      <w:pPr>
        <w:pStyle w:val="ListParagraph"/>
        <w:numPr>
          <w:ilvl w:val="0"/>
          <w:numId w:val="11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Ve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ć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ina ima vrlo 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š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iroki spektar djelovanja: bakterije, gljivice,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protozoe</w:t>
      </w:r>
      <w:proofErr w:type="spellEnd"/>
    </w:p>
    <w:p w:rsidR="005A7F59" w:rsidRPr="005A7F59" w:rsidRDefault="005A7F59" w:rsidP="005A7F59">
      <w:pPr>
        <w:pStyle w:val="ListParagraph"/>
        <w:numPr>
          <w:ilvl w:val="0"/>
          <w:numId w:val="11"/>
        </w:numPr>
        <w:spacing w:line="264" w:lineRule="auto"/>
        <w:rPr>
          <w:color w:val="2A1A00"/>
          <w:sz w:val="40"/>
        </w:rPr>
      </w:pP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Metronidazol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,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tinidazol</w:t>
      </w:r>
      <w:proofErr w:type="spellEnd"/>
    </w:p>
    <w:p w:rsidR="005A7F59" w:rsidRDefault="005A7F59" w:rsidP="005A7F59">
      <w:pPr>
        <w:pStyle w:val="ListParagraph"/>
        <w:spacing w:line="264" w:lineRule="auto"/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</w:pPr>
    </w:p>
    <w:p w:rsidR="005A7F59" w:rsidRDefault="005A7F59" w:rsidP="005A7F59">
      <w:pPr>
        <w:pStyle w:val="ListParagraph"/>
        <w:spacing w:line="264" w:lineRule="auto"/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</w:pP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Antimetaboliti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: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sulfonamidi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i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trimetoprim</w:t>
      </w:r>
      <w:proofErr w:type="spellEnd"/>
    </w:p>
    <w:p w:rsidR="005A7F59" w:rsidRDefault="005A7F59" w:rsidP="005A7F59">
      <w:pPr>
        <w:pStyle w:val="ListParagraph"/>
        <w:numPr>
          <w:ilvl w:val="0"/>
          <w:numId w:val="16"/>
        </w:numPr>
        <w:spacing w:line="264" w:lineRule="auto"/>
        <w:rPr>
          <w:color w:val="2A1A00"/>
          <w:sz w:val="40"/>
        </w:rPr>
      </w:pP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Sulfonamidi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su derivati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sulfanilne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kiseline. Osnovna jezgra svih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sulfonamida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je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sulfanilamid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. </w:t>
      </w:r>
    </w:p>
    <w:p w:rsidR="005A7F59" w:rsidRDefault="005A7F59" w:rsidP="005A7F59">
      <w:pPr>
        <w:pStyle w:val="ListParagraph"/>
        <w:spacing w:line="264" w:lineRule="auto"/>
        <w:rPr>
          <w:color w:val="2A1A00"/>
          <w:sz w:val="40"/>
        </w:rPr>
      </w:pPr>
      <w:r>
        <w:rPr>
          <w:noProof/>
          <w:color w:val="2A1A00"/>
          <w:sz w:val="40"/>
        </w:rPr>
        <w:drawing>
          <wp:inline distT="0" distB="0" distL="0" distR="0" wp14:anchorId="369C5019">
            <wp:extent cx="1980652" cy="227536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70" cy="2281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6E97" w:rsidRDefault="00C46E97"/>
    <w:p w:rsidR="005A7F59" w:rsidRDefault="005A7F59" w:rsidP="005A7F59">
      <w:pPr>
        <w:pStyle w:val="ListParagraph"/>
        <w:numPr>
          <w:ilvl w:val="0"/>
          <w:numId w:val="17"/>
        </w:numPr>
        <w:spacing w:line="264" w:lineRule="auto"/>
        <w:rPr>
          <w:color w:val="2A1A00"/>
          <w:sz w:val="40"/>
        </w:rPr>
      </w:pP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Ugra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đ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uju se u molekulu folne kiseline i na taj na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č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in onemogu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ć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uju rast i razmno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ž</w:t>
      </w:r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avanje onih bakterija koje same sintetiziraju folnu kiselinu. Interferiraju i s unosom folne kiseline u bakterijsku stanicu te s prvim stupnjem u nastanku </w:t>
      </w:r>
      <w:proofErr w:type="spellStart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>tetrahidrofolne</w:t>
      </w:r>
      <w:proofErr w:type="spellEnd"/>
      <w:r>
        <w:rPr>
          <w:rFonts w:asciiTheme="minorHAnsi" w:eastAsiaTheme="minorEastAsia" w:hAnsi="Gill Sans MT" w:cstheme="minorBidi"/>
          <w:color w:val="595959" w:themeColor="text1" w:themeTint="A6"/>
          <w:kern w:val="24"/>
          <w:sz w:val="40"/>
          <w:szCs w:val="40"/>
        </w:rPr>
        <w:t xml:space="preserve"> kiseline</w:t>
      </w:r>
    </w:p>
    <w:p w:rsidR="00000000" w:rsidRPr="005A7F59" w:rsidRDefault="00B33A3A" w:rsidP="005A7F59">
      <w:pPr>
        <w:numPr>
          <w:ilvl w:val="0"/>
          <w:numId w:val="17"/>
        </w:numPr>
      </w:pPr>
      <w:r w:rsidRPr="005A7F59">
        <w:t xml:space="preserve">Danas se </w:t>
      </w:r>
      <w:proofErr w:type="spellStart"/>
      <w:r w:rsidRPr="005A7F59">
        <w:t>sulfonam</w:t>
      </w:r>
      <w:r w:rsidRPr="005A7F59">
        <w:t>idi</w:t>
      </w:r>
      <w:proofErr w:type="spellEnd"/>
      <w:r w:rsidRPr="005A7F59">
        <w:t xml:space="preserve"> rijetko koriste, jer se tijekom njihove upotrebe rezistencija razvila u velikoj mjeri, a problem su i nuspojave (oštećenje bubrega). Bakterijski rast ne staje odmah kada se daju jer bakterijska stanica sadrži rezerve folne kiseline.</w:t>
      </w:r>
    </w:p>
    <w:p w:rsidR="00000000" w:rsidRPr="005A7F59" w:rsidRDefault="00B33A3A" w:rsidP="005A7F59">
      <w:pPr>
        <w:numPr>
          <w:ilvl w:val="0"/>
          <w:numId w:val="17"/>
        </w:numPr>
      </w:pPr>
      <w:r w:rsidRPr="005A7F59">
        <w:t xml:space="preserve">Danas se </w:t>
      </w:r>
      <w:proofErr w:type="spellStart"/>
      <w:r w:rsidRPr="005A7F59">
        <w:t>sulfonamidi</w:t>
      </w:r>
      <w:proofErr w:type="spellEnd"/>
      <w:r w:rsidRPr="005A7F59">
        <w:t xml:space="preserve"> najviše primjenjuju u kombinaciji s </w:t>
      </w:r>
      <w:proofErr w:type="spellStart"/>
      <w:r w:rsidRPr="005A7F59">
        <w:t>trimetoprimom</w:t>
      </w:r>
      <w:proofErr w:type="spellEnd"/>
      <w:r w:rsidRPr="005A7F59">
        <w:t xml:space="preserve">. </w:t>
      </w:r>
      <w:proofErr w:type="spellStart"/>
      <w:r w:rsidRPr="005A7F59">
        <w:t>Primjenjeni</w:t>
      </w:r>
      <w:proofErr w:type="spellEnd"/>
      <w:r w:rsidRPr="005A7F59">
        <w:t xml:space="preserve"> zajedno, ovi lijekovi djeluju baktericidno, a djelotvorni su i protiv MO otpornih na same </w:t>
      </w:r>
      <w:proofErr w:type="spellStart"/>
      <w:r w:rsidRPr="005A7F59">
        <w:t>sulfonami</w:t>
      </w:r>
      <w:r w:rsidRPr="005A7F59">
        <w:t>de</w:t>
      </w:r>
      <w:proofErr w:type="spellEnd"/>
      <w:r w:rsidRPr="005A7F59">
        <w:t xml:space="preserve">. </w:t>
      </w:r>
    </w:p>
    <w:p w:rsidR="00000000" w:rsidRPr="005A7F59" w:rsidRDefault="00B33A3A" w:rsidP="005A7F59">
      <w:pPr>
        <w:numPr>
          <w:ilvl w:val="0"/>
          <w:numId w:val="17"/>
        </w:numPr>
      </w:pPr>
      <w:proofErr w:type="spellStart"/>
      <w:r w:rsidRPr="005A7F59">
        <w:t>Trimetoprim</w:t>
      </w:r>
      <w:proofErr w:type="spellEnd"/>
      <w:r w:rsidRPr="005A7F59">
        <w:t xml:space="preserve"> djeluje tako da inhibira </w:t>
      </w:r>
      <w:proofErr w:type="spellStart"/>
      <w:r w:rsidRPr="005A7F59">
        <w:t>reduktazu</w:t>
      </w:r>
      <w:proofErr w:type="spellEnd"/>
      <w:r w:rsidRPr="005A7F59">
        <w:t xml:space="preserve"> </w:t>
      </w:r>
      <w:proofErr w:type="spellStart"/>
      <w:r w:rsidRPr="005A7F59">
        <w:t>dihidrofolne</w:t>
      </w:r>
      <w:proofErr w:type="spellEnd"/>
      <w:r w:rsidRPr="005A7F59">
        <w:t xml:space="preserve"> kiseline i tako sprječava sintezu </w:t>
      </w:r>
      <w:proofErr w:type="spellStart"/>
      <w:r w:rsidRPr="005A7F59">
        <w:t>tetrahidrofilne</w:t>
      </w:r>
      <w:proofErr w:type="spellEnd"/>
      <w:r w:rsidRPr="005A7F59">
        <w:t xml:space="preserve"> kiseline. To uvjetuje prekid sinteze purina, odno</w:t>
      </w:r>
      <w:r w:rsidRPr="005A7F59">
        <w:t xml:space="preserve">sno </w:t>
      </w:r>
      <w:proofErr w:type="spellStart"/>
      <w:r w:rsidRPr="005A7F59">
        <w:t>purinskih</w:t>
      </w:r>
      <w:proofErr w:type="spellEnd"/>
      <w:r w:rsidRPr="005A7F59">
        <w:t xml:space="preserve"> </w:t>
      </w:r>
      <w:proofErr w:type="spellStart"/>
      <w:r w:rsidRPr="005A7F59">
        <w:t>nukleotida</w:t>
      </w:r>
      <w:proofErr w:type="spellEnd"/>
      <w:r w:rsidRPr="005A7F59">
        <w:t xml:space="preserve">. </w:t>
      </w:r>
      <w:proofErr w:type="spellStart"/>
      <w:r w:rsidRPr="005A7F59">
        <w:t>Trimetoprim</w:t>
      </w:r>
      <w:proofErr w:type="spellEnd"/>
      <w:r w:rsidRPr="005A7F59">
        <w:t xml:space="preserve"> se dobro resorbira, dobro prodire u tkiva i tekućine, uključujući i cerebrospinalnu tekućinu. Kombinacija </w:t>
      </w:r>
      <w:proofErr w:type="spellStart"/>
      <w:r w:rsidRPr="005A7F59">
        <w:t>trimetoprima</w:t>
      </w:r>
      <w:proofErr w:type="spellEnd"/>
      <w:r w:rsidRPr="005A7F59">
        <w:t xml:space="preserve"> i </w:t>
      </w:r>
      <w:proofErr w:type="spellStart"/>
      <w:r w:rsidRPr="005A7F59">
        <w:t>sulfonamida</w:t>
      </w:r>
      <w:proofErr w:type="spellEnd"/>
      <w:r w:rsidRPr="005A7F59">
        <w:t xml:space="preserve"> (kod nas sa </w:t>
      </w:r>
      <w:proofErr w:type="spellStart"/>
      <w:r w:rsidRPr="005A7F59">
        <w:t>sulfometoksazolom</w:t>
      </w:r>
      <w:proofErr w:type="spellEnd"/>
      <w:r w:rsidRPr="005A7F59">
        <w:t xml:space="preserve">) koristi se kod </w:t>
      </w:r>
      <w:proofErr w:type="spellStart"/>
      <w:r w:rsidRPr="005A7F59">
        <w:t>uroinfekcija</w:t>
      </w:r>
      <w:proofErr w:type="spellEnd"/>
      <w:r w:rsidRPr="005A7F59">
        <w:t xml:space="preserve">, </w:t>
      </w:r>
      <w:proofErr w:type="spellStart"/>
      <w:r w:rsidRPr="005A7F59">
        <w:t>prostatitisa</w:t>
      </w:r>
      <w:proofErr w:type="spellEnd"/>
      <w:r w:rsidRPr="005A7F59">
        <w:t>, infekcija r</w:t>
      </w:r>
      <w:r w:rsidRPr="005A7F59">
        <w:t>espiratornog trakta i dr.</w:t>
      </w:r>
    </w:p>
    <w:p w:rsidR="00000000" w:rsidRPr="005A7F59" w:rsidRDefault="00B33A3A" w:rsidP="005A7F59">
      <w:pPr>
        <w:numPr>
          <w:ilvl w:val="0"/>
          <w:numId w:val="17"/>
        </w:numPr>
      </w:pPr>
      <w:r w:rsidRPr="005A7F59">
        <w:t>SINERSUL, SULOTRIM</w:t>
      </w:r>
    </w:p>
    <w:p w:rsidR="005A7F59" w:rsidRDefault="005A7F59">
      <w:bookmarkStart w:id="0" w:name="_GoBack"/>
      <w:bookmarkEnd w:id="0"/>
    </w:p>
    <w:sectPr w:rsidR="005A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05E0"/>
    <w:multiLevelType w:val="hybridMultilevel"/>
    <w:tmpl w:val="06AA2060"/>
    <w:lvl w:ilvl="0" w:tplc="42A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AF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6B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C6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A5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0D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EC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A1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E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752163"/>
    <w:multiLevelType w:val="hybridMultilevel"/>
    <w:tmpl w:val="34006AF0"/>
    <w:lvl w:ilvl="0" w:tplc="D2BC1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8D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AB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8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64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A1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88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C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02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A16AAC"/>
    <w:multiLevelType w:val="hybridMultilevel"/>
    <w:tmpl w:val="15ACC7A6"/>
    <w:lvl w:ilvl="0" w:tplc="D884E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C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4D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8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0B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EC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00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87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E5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001EBE"/>
    <w:multiLevelType w:val="hybridMultilevel"/>
    <w:tmpl w:val="42FC3866"/>
    <w:lvl w:ilvl="0" w:tplc="F7900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A2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AF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6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82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AC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64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E4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20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C41881"/>
    <w:multiLevelType w:val="hybridMultilevel"/>
    <w:tmpl w:val="8716EA22"/>
    <w:lvl w:ilvl="0" w:tplc="AAF89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46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4A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A2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48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C7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AA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C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62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7F3989"/>
    <w:multiLevelType w:val="hybridMultilevel"/>
    <w:tmpl w:val="F0F8080E"/>
    <w:lvl w:ilvl="0" w:tplc="7228D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EF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AA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07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0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2F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B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C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4F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8E78D1"/>
    <w:multiLevelType w:val="hybridMultilevel"/>
    <w:tmpl w:val="91C00F14"/>
    <w:lvl w:ilvl="0" w:tplc="F04A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64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8F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28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41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83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CE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04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2C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FC038F"/>
    <w:multiLevelType w:val="hybridMultilevel"/>
    <w:tmpl w:val="8304BCC6"/>
    <w:lvl w:ilvl="0" w:tplc="B13E3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61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4B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CA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63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8E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89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28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86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67687C"/>
    <w:multiLevelType w:val="hybridMultilevel"/>
    <w:tmpl w:val="790EA9E2"/>
    <w:lvl w:ilvl="0" w:tplc="C32AC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89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D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02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0C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E6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E7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6F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A5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583C7D"/>
    <w:multiLevelType w:val="hybridMultilevel"/>
    <w:tmpl w:val="779E5846"/>
    <w:lvl w:ilvl="0" w:tplc="FE58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49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2D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E0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0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67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89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49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29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020DB9"/>
    <w:multiLevelType w:val="hybridMultilevel"/>
    <w:tmpl w:val="5DAE4FAC"/>
    <w:lvl w:ilvl="0" w:tplc="D414B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C6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46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A3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8D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2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00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29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53214B"/>
    <w:multiLevelType w:val="hybridMultilevel"/>
    <w:tmpl w:val="F0208C2A"/>
    <w:lvl w:ilvl="0" w:tplc="BAF4A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2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A3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E2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8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C9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A1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6C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A4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1066E6"/>
    <w:multiLevelType w:val="hybridMultilevel"/>
    <w:tmpl w:val="C3ECBA4E"/>
    <w:lvl w:ilvl="0" w:tplc="F110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03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2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C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CD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C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C2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0B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67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A676DE"/>
    <w:multiLevelType w:val="hybridMultilevel"/>
    <w:tmpl w:val="09F437EA"/>
    <w:lvl w:ilvl="0" w:tplc="69183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26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60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6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A1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E5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2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84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1737CB"/>
    <w:multiLevelType w:val="hybridMultilevel"/>
    <w:tmpl w:val="4574F6C2"/>
    <w:lvl w:ilvl="0" w:tplc="59A69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517E8"/>
    <w:multiLevelType w:val="hybridMultilevel"/>
    <w:tmpl w:val="B1023004"/>
    <w:lvl w:ilvl="0" w:tplc="94CC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68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AF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46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4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E2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43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CE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E1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786F4B"/>
    <w:multiLevelType w:val="hybridMultilevel"/>
    <w:tmpl w:val="A3240E14"/>
    <w:lvl w:ilvl="0" w:tplc="788AC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CB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44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8D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4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E4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61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4B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44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5C61D5"/>
    <w:multiLevelType w:val="hybridMultilevel"/>
    <w:tmpl w:val="ED241278"/>
    <w:lvl w:ilvl="0" w:tplc="F612D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2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0C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4C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85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CB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C8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AC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CB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1"/>
  </w:num>
  <w:num w:numId="5">
    <w:abstractNumId w:val="0"/>
  </w:num>
  <w:num w:numId="6">
    <w:abstractNumId w:val="17"/>
  </w:num>
  <w:num w:numId="7">
    <w:abstractNumId w:val="10"/>
  </w:num>
  <w:num w:numId="8">
    <w:abstractNumId w:val="16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8"/>
  </w:num>
  <w:num w:numId="15">
    <w:abstractNumId w:val="2"/>
  </w:num>
  <w:num w:numId="16">
    <w:abstractNumId w:val="1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97"/>
    <w:rsid w:val="001774D9"/>
    <w:rsid w:val="005A7F59"/>
    <w:rsid w:val="00C4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092430-6218-4B6F-81EA-13BFB2EF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4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54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50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94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64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16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95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18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069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893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41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00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453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62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66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76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77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24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10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1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69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4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27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73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9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15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11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21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98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72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990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40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20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4006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5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pancirov</dc:creator>
  <cp:keywords/>
  <dc:description/>
  <cp:lastModifiedBy>maja pancirov</cp:lastModifiedBy>
  <cp:revision>2</cp:revision>
  <dcterms:created xsi:type="dcterms:W3CDTF">2017-11-13T11:23:00Z</dcterms:created>
  <dcterms:modified xsi:type="dcterms:W3CDTF">2017-11-13T11:23:00Z</dcterms:modified>
</cp:coreProperties>
</file>